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C047" w14:textId="77777777" w:rsidR="003A5499" w:rsidRDefault="002F6BF9" w:rsidP="002F6BF9">
      <w:pPr>
        <w:spacing w:before="0" w:after="200"/>
        <w:jc w:val="center"/>
        <w:rPr>
          <w:rFonts w:eastAsia="Calibri" w:cs="Times New Roman"/>
          <w:b/>
          <w:bCs/>
          <w:color w:val="0070C0"/>
        </w:rPr>
      </w:pPr>
      <w:r w:rsidRPr="007E50D5">
        <w:rPr>
          <w:rFonts w:eastAsia="Calibri" w:cs="Times New Roman"/>
          <w:b/>
          <w:bCs/>
          <w:color w:val="0070C0"/>
        </w:rPr>
        <w:t>Declarație</w:t>
      </w:r>
      <w:r w:rsidR="003A5499" w:rsidRPr="007E50D5">
        <w:rPr>
          <w:rFonts w:eastAsia="Calibri" w:cs="Times New Roman"/>
          <w:b/>
          <w:bCs/>
          <w:color w:val="0070C0"/>
        </w:rPr>
        <w:t xml:space="preserve"> unică</w:t>
      </w:r>
    </w:p>
    <w:p w14:paraId="02FF48CD" w14:textId="77777777" w:rsidR="0040612B" w:rsidRPr="00E51B00" w:rsidRDefault="00BB0934" w:rsidP="00E51B00">
      <w:pPr>
        <w:shd w:val="clear" w:color="auto" w:fill="8DB3E2" w:themeFill="text2" w:themeFillTint="66"/>
        <w:spacing w:before="0" w:after="200"/>
        <w:jc w:val="center"/>
        <w:rPr>
          <w:rFonts w:eastAsia="Calibri" w:cs="Times New Roman"/>
          <w:b/>
          <w:bCs/>
        </w:rPr>
      </w:pPr>
      <w:r>
        <w:rPr>
          <w:rFonts w:eastAsia="Calibri" w:cs="Times New Roman"/>
          <w:b/>
          <w:bCs/>
        </w:rPr>
        <w:t>ORGANIZAȚIA DE CERCETARE ȘI IMM</w:t>
      </w:r>
    </w:p>
    <w:p w14:paraId="16988E42" w14:textId="77777777" w:rsidR="0040612B" w:rsidRPr="007E50D5" w:rsidRDefault="0040612B" w:rsidP="0040612B">
      <w:pPr>
        <w:spacing w:before="0" w:after="200"/>
        <w:jc w:val="center"/>
        <w:rPr>
          <w:rFonts w:eastAsia="Calibri" w:cs="Times New Roman"/>
          <w:b/>
          <w:bCs/>
          <w:color w:val="0070C0"/>
        </w:rPr>
      </w:pPr>
    </w:p>
    <w:p w14:paraId="75962CC7" w14:textId="6ECED082" w:rsidR="0040612B" w:rsidRPr="007E50D5" w:rsidRDefault="0040612B" w:rsidP="0040612B">
      <w:pPr>
        <w:spacing w:before="0" w:after="200"/>
        <w:rPr>
          <w:rFonts w:eastAsia="Calibri" w:cs="Times New Roman"/>
          <w:color w:val="0070C0"/>
        </w:rPr>
      </w:pPr>
      <w:r w:rsidRPr="007E50D5">
        <w:rPr>
          <w:rFonts w:eastAsia="Calibri" w:cs="Times New Roman"/>
          <w:color w:val="0070C0"/>
        </w:rPr>
        <w:t>Respectă cerințele specifice de eligibilitate aplicabile solicitantului</w:t>
      </w:r>
      <w:r w:rsidR="000D750E">
        <w:rPr>
          <w:rFonts w:eastAsia="Calibri" w:cs="Times New Roman"/>
          <w:color w:val="0070C0"/>
        </w:rPr>
        <w:t xml:space="preserve"> – lider de parteneriat și </w:t>
      </w:r>
      <w:r w:rsidRPr="007E50D5">
        <w:rPr>
          <w:rFonts w:eastAsia="Calibri" w:cs="Times New Roman"/>
          <w:color w:val="0070C0"/>
        </w:rPr>
        <w:t>partener</w:t>
      </w:r>
      <w:r w:rsidR="000D750E">
        <w:rPr>
          <w:rFonts w:eastAsia="Calibri" w:cs="Times New Roman"/>
          <w:color w:val="0070C0"/>
        </w:rPr>
        <w:t>ilor</w:t>
      </w:r>
      <w:r w:rsidR="00C67411">
        <w:rPr>
          <w:rFonts w:eastAsia="Calibri" w:cs="Times New Roman"/>
          <w:color w:val="0070C0"/>
        </w:rPr>
        <w:t xml:space="preserve"> (organizație de cercetare /IMM)</w:t>
      </w:r>
      <w:r w:rsidRPr="007E50D5">
        <w:rPr>
          <w:rFonts w:eastAsia="Calibri" w:cs="Times New Roman"/>
          <w:color w:val="0070C0"/>
        </w:rPr>
        <w:t xml:space="preserve"> și proiectului prevăzute în Ghidul So</w:t>
      </w:r>
      <w:r w:rsidR="00495AFE">
        <w:rPr>
          <w:rFonts w:eastAsia="Calibri" w:cs="Times New Roman"/>
          <w:color w:val="0070C0"/>
        </w:rPr>
        <w:t>licitantului, după cum urmează:</w:t>
      </w:r>
    </w:p>
    <w:p w14:paraId="1D40C4FB" w14:textId="77691429" w:rsidR="0040612B" w:rsidRPr="00073FD6" w:rsidRDefault="0040612B" w:rsidP="00073FD6">
      <w:pPr>
        <w:spacing w:before="0" w:after="200"/>
        <w:rPr>
          <w:rFonts w:eastAsia="Calibri" w:cs="Times New Roman"/>
          <w:b/>
          <w:color w:val="0070C0"/>
        </w:rPr>
      </w:pPr>
      <w:r w:rsidRPr="00073FD6">
        <w:rPr>
          <w:rFonts w:eastAsia="Calibri" w:cs="Times New Roman"/>
          <w:b/>
          <w:color w:val="0070C0"/>
        </w:rPr>
        <w:t xml:space="preserve">Solicitantul de finanțare </w:t>
      </w:r>
      <w:r w:rsidR="000D750E" w:rsidRPr="00073FD6">
        <w:rPr>
          <w:rFonts w:eastAsia="Calibri" w:cs="Times New Roman"/>
          <w:b/>
          <w:color w:val="0070C0"/>
        </w:rPr>
        <w:t>(lider de parteneriat și parteneri)</w:t>
      </w:r>
    </w:p>
    <w:p w14:paraId="58D1A03B" w14:textId="1A414942" w:rsidR="0040612B" w:rsidRPr="00073FD6" w:rsidRDefault="0040612B" w:rsidP="00073FD6">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35B72C46" wp14:editId="4F2A531E">
                <wp:extent cx="190500" cy="128905"/>
                <wp:effectExtent l="15240" t="15240" r="13335" b="8255"/>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0EDBE1B" id="Rectangle 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073FD6">
        <w:rPr>
          <w:rFonts w:eastAsia="Calibri" w:cs="Times New Roman"/>
          <w:color w:val="0070C0"/>
        </w:rPr>
        <w:t xml:space="preserve"> Nu are obligații de </w:t>
      </w:r>
      <w:r w:rsidR="00BD72A7" w:rsidRPr="00073FD6">
        <w:rPr>
          <w:rFonts w:eastAsia="Calibri" w:cs="Times New Roman"/>
          <w:color w:val="0070C0"/>
        </w:rPr>
        <w:t>plată nete neachitate în termen</w:t>
      </w:r>
      <w:r w:rsidRPr="00073FD6">
        <w:rPr>
          <w:rFonts w:eastAsia="Calibri" w:cs="Times New Roman"/>
          <w:color w:val="0070C0"/>
        </w:rPr>
        <w:t xml:space="preserve"> </w:t>
      </w:r>
      <w:r w:rsidR="00125746" w:rsidRPr="00073FD6">
        <w:rPr>
          <w:rFonts w:eastAsia="Calibri" w:cs="Times New Roman"/>
          <w:color w:val="0070C0"/>
        </w:rPr>
        <w:t xml:space="preserve">sau neeșalonate </w:t>
      </w:r>
      <w:r w:rsidRPr="00073FD6">
        <w:rPr>
          <w:rFonts w:eastAsia="Calibri" w:cs="Times New Roman"/>
          <w:color w:val="0070C0"/>
        </w:rPr>
        <w:t>către bugetul de stat și</w:t>
      </w:r>
      <w:r w:rsidR="00BD72A7" w:rsidRPr="00073FD6">
        <w:rPr>
          <w:rFonts w:eastAsia="Calibri" w:cs="Times New Roman"/>
          <w:color w:val="0070C0"/>
        </w:rPr>
        <w:t>,</w:t>
      </w:r>
      <w:r w:rsidRPr="00073FD6">
        <w:rPr>
          <w:rFonts w:eastAsia="Calibri" w:cs="Times New Roman"/>
          <w:color w:val="0070C0"/>
        </w:rPr>
        <w:t xml:space="preserve"> respectiv</w:t>
      </w:r>
      <w:r w:rsidR="00BD72A7" w:rsidRPr="00073FD6">
        <w:rPr>
          <w:rFonts w:eastAsia="Calibri" w:cs="Times New Roman"/>
          <w:color w:val="0070C0"/>
        </w:rPr>
        <w:t>,</w:t>
      </w:r>
      <w:r w:rsidRPr="00073FD6">
        <w:rPr>
          <w:rFonts w:eastAsia="Calibri" w:cs="Times New Roman"/>
          <w:color w:val="0070C0"/>
        </w:rPr>
        <w:t xml:space="preserve"> bugetul local pentru sediul social și toate punctele de lucru, în ultimele 12 luni</w:t>
      </w:r>
      <w:r w:rsidR="00BD72A7" w:rsidRPr="00073FD6">
        <w:rPr>
          <w:rFonts w:eastAsia="Calibri" w:cs="Times New Roman"/>
          <w:color w:val="0070C0"/>
        </w:rPr>
        <w:t>,</w:t>
      </w:r>
      <w:r w:rsidRPr="00073FD6">
        <w:rPr>
          <w:rFonts w:eastAsia="Calibri" w:cs="Times New Roman"/>
          <w:color w:val="0070C0"/>
        </w:rPr>
        <w:t xml:space="preserve"> și nu are fapte înscrise în cazierul fiscal legate de cauze referitoare la obținerea și utilizarea fondurilor europene și/sau a fondurilor publice naționale.</w:t>
      </w:r>
    </w:p>
    <w:p w14:paraId="7CFCE979" w14:textId="77E11E3B" w:rsidR="0050125C" w:rsidRPr="00617FC7" w:rsidRDefault="0050125C" w:rsidP="00073FD6">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25C39000" wp14:editId="5A780B44">
                <wp:extent cx="190500" cy="128905"/>
                <wp:effectExtent l="15240" t="13970" r="13335" b="9525"/>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9720402" id="Rectangle 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073FD6">
        <w:rPr>
          <w:rFonts w:eastAsia="Calibri" w:cs="Times New Roman"/>
          <w:color w:val="0070C0"/>
        </w:rPr>
        <w:t xml:space="preserve"> </w:t>
      </w:r>
      <w:r w:rsidR="00D13A02" w:rsidRPr="00073FD6">
        <w:rPr>
          <w:rFonts w:eastAsia="Calibri" w:cs="Times New Roman"/>
          <w:color w:val="0070C0"/>
        </w:rPr>
        <w:t>D</w:t>
      </w:r>
      <w:r w:rsidRPr="00073FD6">
        <w:rPr>
          <w:rFonts w:eastAsia="Calibri" w:cs="Times New Roman"/>
          <w:color w:val="0070C0"/>
        </w:rPr>
        <w:t>esfășoară activități în domeniile de specializare inteligentă definite în Strategia Națională de</w:t>
      </w:r>
      <w:r w:rsidRPr="00617FC7">
        <w:rPr>
          <w:rFonts w:eastAsia="Calibri" w:cs="Times New Roman"/>
          <w:color w:val="0070C0"/>
        </w:rPr>
        <w:t xml:space="preserve"> Cercetare Inovare și Specializare Inteligentă 2022-2027</w:t>
      </w:r>
    </w:p>
    <w:p w14:paraId="0D95B255" w14:textId="05F688B8" w:rsidR="0050125C" w:rsidRPr="00617FC7" w:rsidRDefault="0050125C" w:rsidP="003A605D">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A55238B" wp14:editId="3F415E4B">
                <wp:extent cx="190500" cy="128905"/>
                <wp:effectExtent l="15240" t="8890" r="13335" b="14605"/>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1EBA780" id="Rectangle 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00D13A02">
        <w:rPr>
          <w:rFonts w:eastAsia="Calibri" w:cs="Times New Roman"/>
          <w:color w:val="0070C0"/>
        </w:rPr>
        <w:t xml:space="preserve"> D</w:t>
      </w:r>
      <w:r w:rsidRPr="00617FC7">
        <w:rPr>
          <w:rFonts w:eastAsia="Calibri" w:cs="Times New Roman"/>
          <w:color w:val="0070C0"/>
        </w:rPr>
        <w:t>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financiare a acesteia, pe perioada de implementare și durabilitate a proiectului</w:t>
      </w:r>
    </w:p>
    <w:p w14:paraId="42E72598" w14:textId="77777777" w:rsidR="0050125C" w:rsidRPr="00617FC7" w:rsidRDefault="0050125C" w:rsidP="0050125C">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9CB3212" wp14:editId="134CB9AE">
                <wp:extent cx="190500" cy="128905"/>
                <wp:effectExtent l="6985" t="15240" r="12065" b="8255"/>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A35DF41" id="Rectangle 1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w:t>
      </w:r>
      <w:r w:rsidR="00D13A02">
        <w:rPr>
          <w:rFonts w:eastAsia="Calibri" w:cs="Times New Roman"/>
          <w:color w:val="0070C0"/>
        </w:rPr>
        <w:t>V</w:t>
      </w:r>
      <w:r w:rsidRPr="00617FC7">
        <w:rPr>
          <w:rFonts w:eastAsia="Calibri" w:cs="Times New Roman"/>
          <w:color w:val="0070C0"/>
        </w:rPr>
        <w:t>a deține în etapa de contractare dreptul asupra imobilului/lor (teren și construcții) vizat/e de către prezentul proiect, conform prevederilor ghidului solicitantului, iar imobilul/le în cauză va respecta în etapa de contractare cumulativ următoarele condiții:</w:t>
      </w:r>
    </w:p>
    <w:p w14:paraId="389A1355"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Nu fac obiectul unor litigii în curs de soluționare la instanțele judecătorești cu privire la situația juridică a terenului si infrastructurii imobilului.</w:t>
      </w:r>
    </w:p>
    <w:p w14:paraId="09E478ED"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Nu fac obiectul revendicărilor potrivit unor legi speciale în materie sau dreptului comun.</w:t>
      </w:r>
    </w:p>
    <w:p w14:paraId="1CFFD5CB"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 xml:space="preserve">Sunt libere de  sarcini în sensul în care nu există niciun act sau fapt juridic care împiedică sau limitează, total sau parțial, </w:t>
      </w:r>
      <w:r w:rsidRPr="002B42E2">
        <w:rPr>
          <w:rFonts w:eastAsia="Calibri" w:cs="Times New Roman"/>
          <w:color w:val="0070C0"/>
        </w:rPr>
        <w:t>exercitarea unuia sau mai multor atribute ale dreptului de proprietate, astfel încât proprietarul să poată exercita cele trei atribute aferente dreptului său de proprietate în mod absolut, exclusiv şi perpetuu</w:t>
      </w:r>
      <w:r w:rsidRPr="00617FC7">
        <w:rPr>
          <w:rFonts w:eastAsia="Calibri" w:cs="Times New Roman"/>
          <w:color w:val="0070C0"/>
        </w:rPr>
        <w:t>.</w:t>
      </w:r>
    </w:p>
    <w:p w14:paraId="1DB9A158" w14:textId="77777777" w:rsidR="0040612B" w:rsidRPr="007E50D5" w:rsidRDefault="0040612B" w:rsidP="0040612B">
      <w:pPr>
        <w:spacing w:before="0" w:after="200"/>
        <w:rPr>
          <w:rFonts w:eastAsia="Calibri" w:cs="Times New Roman"/>
          <w:color w:val="0070C0"/>
        </w:rPr>
      </w:pPr>
      <w:r>
        <w:rPr>
          <w:noProof/>
          <w:color w:val="0070C0"/>
          <w:lang w:val="en-US"/>
        </w:rPr>
        <mc:AlternateContent>
          <mc:Choice Requires="wps">
            <w:drawing>
              <wp:inline distT="0" distB="0" distL="0" distR="0" wp14:anchorId="017BF339" wp14:editId="0B2E8F3A">
                <wp:extent cx="190500" cy="128905"/>
                <wp:effectExtent l="6985" t="9525" r="12065" b="13970"/>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24F1C63" id="Rectangle 1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În conformitate cu prevederile Codului fiscal este:</w:t>
      </w:r>
    </w:p>
    <w:p w14:paraId="756F6337" w14:textId="77777777" w:rsidR="0040612B" w:rsidRPr="007E50D5" w:rsidRDefault="0040612B" w:rsidP="0040612B">
      <w:pPr>
        <w:spacing w:before="0" w:after="200"/>
        <w:ind w:left="708"/>
        <w:rPr>
          <w:rFonts w:eastAsia="Calibri" w:cs="Times New Roman"/>
          <w:color w:val="0070C0"/>
        </w:rPr>
      </w:pPr>
      <w:r w:rsidRPr="007E50D5">
        <w:rPr>
          <w:rFonts w:ascii="Segoe UI Symbol" w:eastAsia="Calibri" w:hAnsi="Segoe UI Symbol" w:cs="Segoe UI Symbol"/>
          <w:color w:val="0070C0"/>
        </w:rPr>
        <w:t>☐</w:t>
      </w:r>
      <w:r w:rsidRPr="007E50D5">
        <w:rPr>
          <w:rFonts w:eastAsia="Calibri" w:cs="Times New Roman"/>
          <w:color w:val="0070C0"/>
        </w:rPr>
        <w:t xml:space="preserve"> a. persoană neînregistrată în scopuri de TVA</w:t>
      </w:r>
    </w:p>
    <w:p w14:paraId="4D3E224D" w14:textId="77777777" w:rsidR="0040612B" w:rsidRPr="007E50D5" w:rsidRDefault="0040612B" w:rsidP="0040612B">
      <w:pPr>
        <w:spacing w:before="0" w:after="200"/>
        <w:ind w:left="708"/>
        <w:rPr>
          <w:rFonts w:eastAsia="Calibri" w:cs="Times New Roman"/>
          <w:color w:val="0070C0"/>
        </w:rPr>
      </w:pPr>
      <w:r w:rsidRPr="007E50D5">
        <w:rPr>
          <w:rFonts w:eastAsia="Calibri" w:cs="Times New Roman"/>
          <w:color w:val="0070C0"/>
        </w:rPr>
        <w:t>sau</w:t>
      </w:r>
    </w:p>
    <w:p w14:paraId="63B6BE69" w14:textId="77777777" w:rsidR="0040612B" w:rsidRPr="007E50D5" w:rsidRDefault="0040612B" w:rsidP="0040612B">
      <w:pPr>
        <w:spacing w:before="0" w:after="200"/>
        <w:ind w:left="708"/>
        <w:rPr>
          <w:rFonts w:eastAsia="Calibri" w:cs="Times New Roman"/>
          <w:color w:val="0070C0"/>
        </w:rPr>
      </w:pPr>
      <w:r w:rsidRPr="007E50D5">
        <w:rPr>
          <w:rFonts w:ascii="Segoe UI Symbol" w:eastAsia="Calibri" w:hAnsi="Segoe UI Symbol" w:cs="Segoe UI Symbol"/>
          <w:color w:val="0070C0"/>
        </w:rPr>
        <w:t>☐</w:t>
      </w:r>
      <w:r w:rsidRPr="007E50D5">
        <w:rPr>
          <w:rFonts w:eastAsia="Calibri" w:cs="Times New Roman"/>
          <w:color w:val="0070C0"/>
        </w:rPr>
        <w:t xml:space="preserve"> b. persoană înregistrată în scopuri de TVA</w:t>
      </w:r>
    </w:p>
    <w:p w14:paraId="74B3A532" w14:textId="77777777" w:rsidR="0040612B" w:rsidRPr="007E50D5" w:rsidRDefault="0040612B" w:rsidP="0040612B">
      <w:pPr>
        <w:spacing w:before="0" w:after="200"/>
        <w:rPr>
          <w:rFonts w:eastAsia="Calibri" w:cs="Times New Roman"/>
          <w:color w:val="0070C0"/>
        </w:rPr>
      </w:pPr>
      <w:r>
        <w:rPr>
          <w:noProof/>
          <w:color w:val="0070C0"/>
          <w:lang w:val="en-US"/>
        </w:rPr>
        <mc:AlternateContent>
          <mc:Choice Requires="wps">
            <w:drawing>
              <wp:inline distT="0" distB="0" distL="0" distR="0" wp14:anchorId="14395C6C" wp14:editId="779B4AA0">
                <wp:extent cx="190500" cy="128905"/>
                <wp:effectExtent l="6985" t="15240" r="12065" b="8255"/>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8ECA011" id="Rectangle 1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Își asumă că în conformitate cu prevederile Codului fiscal, pentru achizițiile din cadrul proiectului cuprinse în secțiunea Plan de achiziții din cererea de finanțare, TVA este deductibilă potrivit legislației naționale în domeniul fiscal și respectă prevederile art. 64 alin. (1), litera c) din Regulamentul (UE) nr. 1060/2021.</w:t>
      </w:r>
    </w:p>
    <w:p w14:paraId="2AD57450" w14:textId="7C0D2E11" w:rsidR="0040612B" w:rsidRPr="007E50D5" w:rsidRDefault="0040612B" w:rsidP="0040612B">
      <w:pPr>
        <w:spacing w:before="0" w:after="200"/>
        <w:rPr>
          <w:rFonts w:eastAsia="Calibri" w:cs="Times New Roman"/>
          <w:color w:val="0070C0"/>
        </w:rPr>
      </w:pPr>
      <w:r>
        <w:rPr>
          <w:noProof/>
          <w:color w:val="0070C0"/>
          <w:lang w:val="en-US"/>
        </w:rPr>
        <w:lastRenderedPageBreak/>
        <mc:AlternateContent>
          <mc:Choice Requires="wps">
            <w:drawing>
              <wp:inline distT="0" distB="0" distL="0" distR="0" wp14:anchorId="1B8AC4D7" wp14:editId="35AE2CC5">
                <wp:extent cx="190500" cy="128905"/>
                <wp:effectExtent l="6985" t="14605" r="12065" b="8890"/>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DF14482" id="Rectangle 1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Își asumă că</w:t>
      </w:r>
      <w:r w:rsidR="00BD72A7">
        <w:rPr>
          <w:rFonts w:eastAsia="Calibri" w:cs="Times New Roman"/>
          <w:color w:val="0070C0"/>
        </w:rPr>
        <w:t>,</w:t>
      </w:r>
      <w:r w:rsidRPr="007E50D5">
        <w:rPr>
          <w:rFonts w:eastAsia="Calibri" w:cs="Times New Roman"/>
          <w:color w:val="0070C0"/>
        </w:rPr>
        <w:t xml:space="preserve"> în conformitate cu prevederile Codului fiscal, pentru achizițiile din cadrul proiectului cuprinse în secțiunea Plan de achiziții din cererea de finanțare, TVA este nedeductibilă potrivit legislației naționale în domeniul fiscal și respectă prevederile art. 64 alin. (1), litera c) din Regulamentul (UE) nr. 1060/2021</w:t>
      </w:r>
    </w:p>
    <w:p w14:paraId="59DBF25C" w14:textId="77777777"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75F85209" wp14:editId="5270269E">
                <wp:extent cx="190500" cy="128905"/>
                <wp:effectExtent l="6985" t="13335" r="12065" b="10160"/>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251EFBF"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D13A02">
        <w:rPr>
          <w:rFonts w:eastAsia="Calibri" w:cs="Times New Roman"/>
          <w:color w:val="0070C0"/>
        </w:rPr>
        <w:t>A</w:t>
      </w:r>
      <w:r w:rsidRPr="007E50D5">
        <w:rPr>
          <w:rFonts w:eastAsia="Calibri" w:cs="Times New Roman"/>
          <w:color w:val="0070C0"/>
        </w:rPr>
        <w:t xml:space="preserve"> depus toate documentele justificative prevăzute în ghidul solicitantului</w:t>
      </w:r>
    </w:p>
    <w:p w14:paraId="65ED9055"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33866546" wp14:editId="45E7FB28">
                <wp:extent cx="190500" cy="128905"/>
                <wp:effectExtent l="15240" t="10795" r="13335" b="12700"/>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D05535B" id="Rectangle 2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se află în stare de faliment/insolvenţă, NU face obiectul unei proceduri de lichidare sau de administrare judiciară, NU a încheiat acorduri cu creditorii sau NU face obiectul unei proceduri legale în urma acestor situaţii, NU se află în situaţii similare în urma unei proceduri de aceeaşi natură, prevăzute de legislaţia sau de reglementările naţionale.</w:t>
      </w:r>
    </w:p>
    <w:p w14:paraId="65C6EFB5"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6F9B075E" wp14:editId="2976992F">
                <wp:extent cx="190500" cy="128905"/>
                <wp:effectExtent l="15240" t="9525" r="13335" b="13970"/>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F11C467" id="Rectangle 2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face obiectul unui ordin de recuperare în urma unei decizii anterioare a Comisiei Europene 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p>
    <w:p w14:paraId="1BE6E300"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5DF799D" wp14:editId="29495833">
                <wp:extent cx="190500" cy="128905"/>
                <wp:effectExtent l="15240" t="8890" r="13335" b="14605"/>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A9D9541"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a mai obținut finanțare pentru alte proiecte implementate, având același obiectiv, pentru care nu a fost realizată recepția finală, sau pentru care a fost reziliat contractul de finanțare din fonduri publice pentru aceeași investiție, la solicitarea beneficiarului.</w:t>
      </w:r>
    </w:p>
    <w:p w14:paraId="039F2E3A"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7DC96009" wp14:editId="31762C5C">
                <wp:extent cx="190500" cy="128905"/>
                <wp:effectExtent l="15240" t="12065" r="13335" b="11430"/>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2BEB725" id="Rectangle 27"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NU se regăsește în situația de a fi fost stabilite debite în sarcina sa, ca urmare a măsurilor legale întreprinse de autoritatea de management.</w:t>
      </w:r>
    </w:p>
    <w:p w14:paraId="0CBD1588" w14:textId="77777777" w:rsidR="00617FC7" w:rsidRPr="00617FC7" w:rsidRDefault="00617FC7" w:rsidP="00617FC7">
      <w:pPr>
        <w:spacing w:before="0" w:after="200"/>
        <w:rPr>
          <w:rFonts w:eastAsia="Calibri" w:cs="Times New Roman"/>
          <w:color w:val="0070C0"/>
        </w:rPr>
      </w:pPr>
      <w:r w:rsidRPr="00617FC7">
        <w:rPr>
          <w:rFonts w:eastAsia="Calibri" w:cs="Times New Roman"/>
          <w:color w:val="0070C0"/>
        </w:rPr>
        <w:t>Sau</w:t>
      </w:r>
    </w:p>
    <w:p w14:paraId="4CEFA732"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1D909F43" wp14:editId="503A9F03">
                <wp:extent cx="190500" cy="128905"/>
                <wp:effectExtent l="15240" t="8255" r="13335" b="15240"/>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A90FDBB" id="Rectangle 2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617FC7">
        <w:rPr>
          <w:rFonts w:eastAsia="Calibri" w:cs="Times New Roman"/>
          <w:color w:val="0070C0"/>
        </w:rPr>
        <w:t xml:space="preserve"> În cazul în care au fost stabilite debite în sarcina sa ca urmare a măsurilor legale întreprinse de autoritatea de management, solicitantul de finanțare va putea încheia contractul de finanţare în următoarele situații:</w:t>
      </w:r>
    </w:p>
    <w:p w14:paraId="20EE0A20" w14:textId="77777777" w:rsidR="00617FC7" w:rsidRPr="00617FC7" w:rsidRDefault="00617FC7" w:rsidP="00617FC7">
      <w:pPr>
        <w:spacing w:before="0" w:after="200"/>
        <w:rPr>
          <w:rFonts w:eastAsia="Calibri" w:cs="Times New Roman"/>
          <w:color w:val="0070C0"/>
        </w:rPr>
      </w:pPr>
      <w:r w:rsidRPr="00617FC7">
        <w:rPr>
          <w:rFonts w:eastAsia="Calibri" w:cs="Times New Roman"/>
          <w:color w:val="0070C0"/>
        </w:rPr>
        <w:t>a) recunoaște debitul stabilit în sarcina sa de autoritatea de management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670722BF" w14:textId="77777777" w:rsidR="00617FC7" w:rsidRPr="00617FC7" w:rsidRDefault="00617FC7" w:rsidP="00617FC7">
      <w:pPr>
        <w:spacing w:before="0" w:after="200"/>
        <w:rPr>
          <w:rFonts w:eastAsia="Calibri" w:cs="Times New Roman"/>
          <w:color w:val="0070C0"/>
        </w:rPr>
      </w:pPr>
      <w:r w:rsidRPr="00617FC7">
        <w:rPr>
          <w:rFonts w:eastAsia="Calibri" w:cs="Times New Roman"/>
          <w:color w:val="0070C0"/>
        </w:rPr>
        <w:t xml:space="preserve">b) a contestat în instanță notificările/procesele verbale/notele de constatare a unor debite și, prin decizie a instanțelor de judecată, acestea au fost suspendate de la executare, anexând dovezi în acest sens.  </w:t>
      </w:r>
    </w:p>
    <w:p w14:paraId="17CCF146" w14:textId="77777777" w:rsidR="00617FC7" w:rsidRPr="007E50D5" w:rsidRDefault="00617FC7" w:rsidP="001A07AC">
      <w:pPr>
        <w:spacing w:before="0" w:after="200"/>
        <w:rPr>
          <w:rFonts w:eastAsia="Calibri" w:cs="Times New Roman"/>
          <w:color w:val="0070C0"/>
        </w:rPr>
      </w:pPr>
      <w:r w:rsidRPr="00617FC7">
        <w:rPr>
          <w:rFonts w:eastAsia="Calibri" w:cs="Times New Roman"/>
          <w:color w:val="0070C0"/>
        </w:rPr>
        <w:t>Situațiile de la punctele a) și b) de mai sus nu se aplică contractelor de finanțare pentru care s-a acordat ajutor de stat. În acest caz, deciziile de recuperare a ajutoarelor de stat trebuie să fie executate și creanțele recuperate integral.</w:t>
      </w:r>
    </w:p>
    <w:p w14:paraId="2C50D5E2" w14:textId="77777777" w:rsidR="001A07AC" w:rsidRPr="00BB0934" w:rsidRDefault="001A07AC" w:rsidP="001A07AC">
      <w:pPr>
        <w:spacing w:before="0" w:after="200"/>
        <w:rPr>
          <w:rFonts w:eastAsia="Calibri" w:cs="Times New Roman"/>
          <w:b/>
          <w:color w:val="0070C0"/>
        </w:rPr>
      </w:pPr>
      <w:r w:rsidRPr="00BB0934">
        <w:rPr>
          <w:rFonts w:eastAsia="Calibri" w:cs="Times New Roman"/>
          <w:b/>
          <w:color w:val="0070C0"/>
        </w:rPr>
        <w:t xml:space="preserve">Proiectul </w:t>
      </w:r>
    </w:p>
    <w:p w14:paraId="342A1592"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73F30F7A" wp14:editId="4EA5AFE8">
                <wp:extent cx="190500" cy="128905"/>
                <wp:effectExtent l="6985" t="13970" r="12065" b="9525"/>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50DAA9F" id="Rectangle 17"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Proiectul și activitățile acestuia se încadrează în acțiunile specifice sprijinite în cadrul Obiectivului Specific și sunt respectate condițiile impuse prin ghidul solicitantului cu privire la activitățile proiectului.</w:t>
      </w:r>
    </w:p>
    <w:p w14:paraId="4D8A4D0B" w14:textId="77777777" w:rsidR="001A07AC" w:rsidRPr="007E50D5" w:rsidRDefault="001A07AC" w:rsidP="001A07AC">
      <w:pPr>
        <w:spacing w:before="0" w:after="200"/>
        <w:rPr>
          <w:rFonts w:eastAsia="Calibri" w:cs="Times New Roman"/>
          <w:color w:val="0070C0"/>
        </w:rPr>
      </w:pPr>
      <w:r>
        <w:rPr>
          <w:noProof/>
          <w:color w:val="0070C0"/>
          <w:lang w:val="en-US"/>
        </w:rPr>
        <w:lastRenderedPageBreak/>
        <mc:AlternateContent>
          <mc:Choice Requires="wps">
            <w:drawing>
              <wp:inline distT="0" distB="0" distL="0" distR="0" wp14:anchorId="455A4966" wp14:editId="33BE9A08">
                <wp:extent cx="190500" cy="128905"/>
                <wp:effectExtent l="6985" t="7620" r="12065" b="6350"/>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58A12F2" id="Rectangle 1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Proiectul nu include investiții demarate înainte de depunerea cererii de finanțare, cu excepția procedurilor aferente consultanței pentru scrierea proiectului, managementului de proiect.</w:t>
      </w:r>
    </w:p>
    <w:p w14:paraId="63A0A385" w14:textId="014549C3" w:rsidR="0037142D" w:rsidRPr="0037142D" w:rsidRDefault="001A07AC" w:rsidP="0037142D">
      <w:pPr>
        <w:spacing w:before="0" w:after="200"/>
        <w:rPr>
          <w:color w:val="0070C0"/>
        </w:rPr>
      </w:pPr>
      <w:r>
        <w:rPr>
          <w:noProof/>
          <w:color w:val="0070C0"/>
          <w:lang w:val="en-US"/>
        </w:rPr>
        <mc:AlternateContent>
          <mc:Choice Requires="wps">
            <w:drawing>
              <wp:inline distT="0" distB="0" distL="0" distR="0" wp14:anchorId="322805CA" wp14:editId="4472EAE7">
                <wp:extent cx="190500" cy="128905"/>
                <wp:effectExtent l="6985" t="14605" r="12065" b="8890"/>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64A841F" id="Rectangle 1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37142D" w:rsidRPr="006056D9">
        <w:rPr>
          <w:color w:val="0070C0"/>
        </w:rPr>
        <w:t>NU a mai  beneficiat de finanţare din alte programe naţionale sau europene, pentru aceleași costuri și nu beneficiază în prezent, parțial sau în totalitate, de fonduri publice din alte surse de finanțare, altele decât cele ale solicitantului, pentru aceleași costuri</w:t>
      </w:r>
      <w:r w:rsidR="0037142D" w:rsidRPr="007E50D5">
        <w:rPr>
          <w:rFonts w:eastAsia="Calibri" w:cs="Times New Roman"/>
          <w:color w:val="0070C0"/>
        </w:rPr>
        <w:t>.</w:t>
      </w:r>
    </w:p>
    <w:p w14:paraId="04B4E730" w14:textId="092C7C34"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07AA7591" wp14:editId="316CE064">
                <wp:extent cx="190500" cy="128905"/>
                <wp:effectExtent l="6985" t="7620" r="12065" b="6350"/>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EE9B826" id="Rectangle 2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Proiectul se încadrează în valorile maxime nerambursabile, stabilite conform prevederilor ghidurilor.</w:t>
      </w:r>
    </w:p>
    <w:p w14:paraId="0AA57B29" w14:textId="338EE425" w:rsidR="00287D4D" w:rsidRPr="00287D4D" w:rsidRDefault="00287D4D" w:rsidP="00287D4D">
      <w:pPr>
        <w:spacing w:before="0" w:after="200"/>
        <w:rPr>
          <w:rFonts w:eastAsia="Calibri" w:cs="Times New Roman"/>
          <w:color w:val="0070C0"/>
        </w:rPr>
      </w:pPr>
      <w:r>
        <w:rPr>
          <w:noProof/>
          <w:color w:val="0070C0"/>
          <w:lang w:val="en-US"/>
        </w:rPr>
        <mc:AlternateContent>
          <mc:Choice Requires="wps">
            <w:drawing>
              <wp:inline distT="0" distB="0" distL="0" distR="0" wp14:anchorId="09172CD6" wp14:editId="591FC9D5">
                <wp:extent cx="190500" cy="128905"/>
                <wp:effectExtent l="6985" t="7620" r="12065" b="6350"/>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CBE9A5" id="Rectangle 2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okczNHsCAAD/BAAADgAA&#10;AAAAAAAAAAAAAAAuAgAAZHJzL2Uyb0RvYy54bWxQSwECLQAUAAYACAAAACEACKQyltoAAAADAQAA&#10;DwAAAAAAAAAAAAAAAADVBAAAZHJzL2Rvd25yZXYueG1sUEsFBgAAAAAEAAQA8wAAANwFAAAAAA==&#10;" filled="f" strokecolor="#2f528f" strokeweight="1pt">
                <w10:anchorlock/>
              </v:rect>
            </w:pict>
          </mc:Fallback>
        </mc:AlternateContent>
      </w:r>
      <w:r>
        <w:rPr>
          <w:rFonts w:eastAsia="Calibri" w:cs="Times New Roman"/>
          <w:color w:val="0070C0"/>
        </w:rPr>
        <w:t xml:space="preserve"> </w:t>
      </w:r>
      <w:r w:rsidRPr="00287D4D">
        <w:rPr>
          <w:rFonts w:eastAsia="Calibri" w:cs="Times New Roman"/>
          <w:color w:val="0070C0"/>
        </w:rPr>
        <w:t>Proiectul are caracter inovativ.</w:t>
      </w:r>
    </w:p>
    <w:p w14:paraId="2B15C6D9" w14:textId="6F1E4B75" w:rsidR="001A07AC" w:rsidRPr="00686CE9" w:rsidRDefault="001A07AC" w:rsidP="00686CE9">
      <w:pPr>
        <w:spacing w:before="0" w:after="200"/>
        <w:rPr>
          <w:rFonts w:eastAsia="Calibri" w:cs="Times New Roman"/>
          <w:color w:val="0070C0"/>
        </w:rPr>
      </w:pPr>
      <w:r>
        <w:rPr>
          <w:noProof/>
          <w:color w:val="0070C0"/>
          <w:lang w:val="en-US"/>
        </w:rPr>
        <mc:AlternateContent>
          <mc:Choice Requires="wps">
            <w:drawing>
              <wp:inline distT="0" distB="0" distL="0" distR="0" wp14:anchorId="38E93651" wp14:editId="65D5A108">
                <wp:extent cx="190500" cy="128905"/>
                <wp:effectExtent l="15240" t="15240" r="13335" b="8255"/>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7B318A1" id="Rectangle 4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686CE9">
        <w:rPr>
          <w:rFonts w:eastAsia="Calibri" w:cs="Times New Roman"/>
          <w:color w:val="0070C0"/>
        </w:rPr>
        <w:t xml:space="preserve">Solicitantul </w:t>
      </w:r>
      <w:r w:rsidR="00686CE9" w:rsidRPr="00686CE9">
        <w:rPr>
          <w:rFonts w:eastAsia="Calibri" w:cs="Times New Roman"/>
          <w:color w:val="0070C0"/>
        </w:rPr>
        <w:t>confirmă că, în cei doi ani anteriori cererii de ajutor, nu a efectuat o relocare către unitatea în care urmează să aibă loc investiția inițială pentru care se solicită ajutorul și oferă un angajament că nu va face acest lucru pentru o perioadă de până la doi ani după finalizarea investiției inițiale pentru care se solicită ajutorul.</w:t>
      </w:r>
    </w:p>
    <w:p w14:paraId="7D7A4553"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4F8FA76B" wp14:editId="551682D8">
                <wp:extent cx="190500" cy="128905"/>
                <wp:effectExtent l="15240" t="12700" r="13335" b="10795"/>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1119D14" id="Rectangle 2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Prevede că, după semnarea contractului de finanțare, perioada de implementare a activităților, în cadrul căreia pot fi efectuate cheltuielile eligibile, nu poate depăși perioada prevăzută în ghidul solicitantului.</w:t>
      </w:r>
    </w:p>
    <w:p w14:paraId="56C280D4" w14:textId="27755B4D"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BA6838A" wp14:editId="1E1134A1">
                <wp:extent cx="190500" cy="128905"/>
                <wp:effectExtent l="15240" t="6350" r="13335" b="7620"/>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3BFA148" id="Rectangle 2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Include măsurile de comunicare și vizibilitate, conform cerințelor din Regulamentul (UE) </w:t>
      </w:r>
      <w:r>
        <w:rPr>
          <w:rFonts w:eastAsia="Calibri" w:cs="Times New Roman"/>
          <w:color w:val="0070C0"/>
        </w:rPr>
        <w:t xml:space="preserve">nr. </w:t>
      </w:r>
      <w:r w:rsidRPr="007E50D5">
        <w:rPr>
          <w:rFonts w:eastAsia="Calibri" w:cs="Times New Roman"/>
          <w:color w:val="0070C0"/>
        </w:rPr>
        <w:t>1060</w:t>
      </w:r>
      <w:r>
        <w:rPr>
          <w:rFonts w:eastAsia="Calibri" w:cs="Times New Roman"/>
          <w:color w:val="0070C0"/>
        </w:rPr>
        <w:t>/2021</w:t>
      </w:r>
      <w:r w:rsidRPr="007E50D5">
        <w:rPr>
          <w:rFonts w:eastAsia="Calibri" w:cs="Times New Roman"/>
          <w:color w:val="0070C0"/>
        </w:rPr>
        <w:t xml:space="preserve">, cu excepțiile stabilite prin HG 873/2022 privind stabilirea cadrului legal privind eligibilitatea cheltuielilor efectuate de beneficiari în cadrul operațiunilor finanțate în perioada de programare 2021 - 2027 prin Fondul European de Dezvoltare Regională, Fondul Social European Plus, Fondul de Coeziune și Fondul pentru o Tranziție Justă, în conformitate cu specificațiile din </w:t>
      </w:r>
      <w:r w:rsidR="00FD0368">
        <w:rPr>
          <w:rFonts w:eastAsia="Calibri" w:cs="Times New Roman"/>
          <w:color w:val="0070C0"/>
        </w:rPr>
        <w:t>Ghidul solicitantului</w:t>
      </w:r>
      <w:r w:rsidR="00FD0368" w:rsidRPr="007E50D5">
        <w:rPr>
          <w:rFonts w:eastAsia="Calibri" w:cs="Times New Roman"/>
          <w:color w:val="0070C0"/>
        </w:rPr>
        <w:t xml:space="preserve"> </w:t>
      </w:r>
      <w:r w:rsidRPr="007E50D5">
        <w:rPr>
          <w:rFonts w:eastAsia="Calibri" w:cs="Times New Roman"/>
          <w:color w:val="0070C0"/>
        </w:rPr>
        <w:t xml:space="preserve">și cu prevederile </w:t>
      </w:r>
      <w:r w:rsidR="003A605D">
        <w:rPr>
          <w:rFonts w:cstheme="minorHAnsi"/>
          <w:color w:val="0070C0"/>
          <w:sz w:val="24"/>
          <w:szCs w:val="24"/>
        </w:rPr>
        <w:t xml:space="preserve">OMIPE nr. 5744/ </w:t>
      </w:r>
      <w:r w:rsidR="003A605D" w:rsidRPr="0056573B">
        <w:rPr>
          <w:rFonts w:cstheme="minorHAnsi"/>
          <w:color w:val="0070C0"/>
          <w:sz w:val="24"/>
          <w:szCs w:val="24"/>
        </w:rPr>
        <w:t>pentru aprobarea Ghidului de identitate vizuală „Vizibilitate, transparență și comunicare în perioada de programare 2021—2027”</w:t>
      </w:r>
      <w:r w:rsidR="003A605D">
        <w:rPr>
          <w:rFonts w:cstheme="minorHAnsi"/>
          <w:color w:val="0070C0"/>
          <w:sz w:val="24"/>
          <w:szCs w:val="24"/>
        </w:rPr>
        <w:t>.</w:t>
      </w:r>
      <w:r w:rsidR="007C6E6F">
        <w:rPr>
          <w:rFonts w:cstheme="minorHAnsi"/>
          <w:color w:val="0070C0"/>
          <w:sz w:val="24"/>
          <w:szCs w:val="24"/>
        </w:rPr>
        <w:t xml:space="preserve"> (pct 15 din grila de verificare eligibilitate)</w:t>
      </w:r>
    </w:p>
    <w:p w14:paraId="7ED532A2" w14:textId="0F220331" w:rsidR="001A07AC" w:rsidRPr="007E50D5" w:rsidRDefault="001A07AC" w:rsidP="001A07AC">
      <w:pPr>
        <w:spacing w:before="0" w:after="200"/>
        <w:rPr>
          <w:rFonts w:eastAsia="Calibri" w:cs="Times New Roman"/>
          <w:color w:val="0070C0"/>
        </w:rPr>
      </w:pPr>
      <w:r w:rsidRPr="007E50D5">
        <w:rPr>
          <w:rFonts w:eastAsia="Calibri" w:cs="Times New Roman"/>
          <w:b/>
          <w:color w:val="0070C0"/>
        </w:rPr>
        <w:t>Reprezentantul legal al solicitantului de finanțare</w:t>
      </w:r>
      <w:r w:rsidR="000D750E">
        <w:rPr>
          <w:rFonts w:eastAsia="Calibri" w:cs="Times New Roman"/>
          <w:b/>
          <w:color w:val="0070C0"/>
        </w:rPr>
        <w:t xml:space="preserve"> (lider de parteneriat și parteneri)</w:t>
      </w:r>
      <w:r w:rsidRPr="007E50D5">
        <w:rPr>
          <w:rFonts w:eastAsia="Calibri" w:cs="Times New Roman"/>
          <w:color w:val="0070C0"/>
        </w:rPr>
        <w:t>:</w:t>
      </w:r>
      <w:r w:rsidRPr="007E50D5">
        <w:rPr>
          <w:rFonts w:eastAsia="Calibri" w:cs="Times New Roman"/>
          <w:color w:val="0070C0"/>
        </w:rPr>
        <w:tab/>
      </w:r>
    </w:p>
    <w:p w14:paraId="54046716"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151CC2C2" wp14:editId="0B683DC8">
                <wp:extent cx="190500" cy="128905"/>
                <wp:effectExtent l="6985" t="15240" r="12065" b="8255"/>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36A5438" id="Rectangle 2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este subiectul unui conflict de interese, definit în conformitate cu prevederile naționale/europene în vigoare și își asumă să ia toate măsurile pentru respectarea regulilor privind evitarea conflictului de interese, în conformitate cu prevederile ghidului solicitantului de finanțare, cu reglementările europene și naționale în vigoare.</w:t>
      </w:r>
    </w:p>
    <w:p w14:paraId="47F3A91C"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916E910" wp14:editId="3EF7E8A0">
                <wp:extent cx="190500" cy="128905"/>
                <wp:effectExtent l="6985" t="14605" r="12065" b="8890"/>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D9319C3" id="Rectangle 3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află într-o situație care are sau poate avea ca efect compromiterea obiectivității și imparțialității procesului de evaluare, selecție, contractare și implementare a proiectului.</w:t>
      </w:r>
    </w:p>
    <w:p w14:paraId="69AB6326"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47A4057C" wp14:editId="7A734B32">
                <wp:extent cx="190500" cy="128905"/>
                <wp:effectExtent l="6985" t="12065" r="12065" b="11430"/>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1067F42" id="Rectangle 3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află în situația de a induce grav în eroare AM/OI</w:t>
      </w:r>
      <w:r>
        <w:rPr>
          <w:rFonts w:eastAsia="Calibri" w:cs="Times New Roman"/>
          <w:color w:val="0070C0"/>
        </w:rPr>
        <w:t>C</w:t>
      </w:r>
      <w:r w:rsidRPr="007E50D5">
        <w:rPr>
          <w:rFonts w:eastAsia="Calibri" w:cs="Times New Roman"/>
          <w:color w:val="0070C0"/>
        </w:rPr>
        <w:t xml:space="preserve"> sau comisiile de evaluare, selecție și contractare prin furnizarea de informații incorecte și/sau incomplete în cadrul prezentului apel de proiecte sau a altor apeluri de proiecte derulate în cadrul POCIDIF.</w:t>
      </w:r>
    </w:p>
    <w:p w14:paraId="6F0789AF"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418C59C" wp14:editId="3561C2AC">
                <wp:extent cx="190500" cy="128905"/>
                <wp:effectExtent l="6985" t="14605" r="12065" b="8890"/>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7176B8" id="Rectangle 3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află în situația de a încerca/de a fi încercat să </w:t>
      </w:r>
      <w:r w:rsidR="008021BD" w:rsidRPr="007E50D5">
        <w:rPr>
          <w:rFonts w:eastAsia="Calibri" w:cs="Times New Roman"/>
          <w:color w:val="0070C0"/>
        </w:rPr>
        <w:t>obțină</w:t>
      </w:r>
      <w:r w:rsidRPr="007E50D5">
        <w:rPr>
          <w:rFonts w:eastAsia="Calibri" w:cs="Times New Roman"/>
          <w:color w:val="0070C0"/>
        </w:rPr>
        <w:t xml:space="preserve"> </w:t>
      </w:r>
      <w:r w:rsidR="008021BD" w:rsidRPr="007E50D5">
        <w:rPr>
          <w:rFonts w:eastAsia="Calibri" w:cs="Times New Roman"/>
          <w:color w:val="0070C0"/>
        </w:rPr>
        <w:t>informații</w:t>
      </w:r>
      <w:r w:rsidRPr="007E50D5">
        <w:rPr>
          <w:rFonts w:eastAsia="Calibri" w:cs="Times New Roman"/>
          <w:color w:val="0070C0"/>
        </w:rPr>
        <w:t xml:space="preserve"> </w:t>
      </w:r>
      <w:r w:rsidR="008021BD" w:rsidRPr="007E50D5">
        <w:rPr>
          <w:rFonts w:eastAsia="Calibri" w:cs="Times New Roman"/>
          <w:color w:val="0070C0"/>
        </w:rPr>
        <w:t>confidențiale</w:t>
      </w:r>
      <w:r w:rsidRPr="007E50D5">
        <w:rPr>
          <w:rFonts w:eastAsia="Calibri" w:cs="Times New Roman"/>
          <w:color w:val="0070C0"/>
        </w:rPr>
        <w:t xml:space="preserve"> sau să </w:t>
      </w:r>
      <w:r w:rsidR="008021BD" w:rsidRPr="007E50D5">
        <w:rPr>
          <w:rFonts w:eastAsia="Calibri" w:cs="Times New Roman"/>
          <w:color w:val="0070C0"/>
        </w:rPr>
        <w:t>influențeze</w:t>
      </w:r>
      <w:r w:rsidRPr="007E50D5">
        <w:rPr>
          <w:rFonts w:eastAsia="Calibri" w:cs="Times New Roman"/>
          <w:color w:val="0070C0"/>
        </w:rPr>
        <w:t xml:space="preserve"> comisiile de evaluare sau AM/OI pe parcursul procesului de evaluare, selecție și contractare a prezentului apel de proiecte sau a altor apeluri de proiecte derulate în cadrul POCIDIF.</w:t>
      </w:r>
    </w:p>
    <w:p w14:paraId="0F39F976"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02760187" wp14:editId="04253EA3">
                <wp:extent cx="190500" cy="128905"/>
                <wp:effectExtent l="6985" t="13970" r="12065" b="9525"/>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7531B90" id="Rectangle 3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a fost găsit vinovat, printr-o hotărâre judecătorească definitivă, pentru comiterea unei fraude/fapte de corupție/infracțiuni referitoare la obținerea și  utilizarea fondurilor europene și/sau </w:t>
      </w:r>
      <w:r w:rsidRPr="007E50D5">
        <w:rPr>
          <w:rFonts w:eastAsia="Calibri" w:cs="Times New Roman"/>
          <w:color w:val="0070C0"/>
        </w:rPr>
        <w:lastRenderedPageBreak/>
        <w:t>a fondurilor publice naționale aferente acestora, în conformitate cu prevederile Codului Penal aprobat prin Legea nr. 286/2009 cu modificările și completările ulterioare.</w:t>
      </w:r>
    </w:p>
    <w:p w14:paraId="3E23D326" w14:textId="77777777" w:rsidR="00617FC7"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23E0953D" wp14:editId="79C9FB19">
                <wp:extent cx="190500" cy="128905"/>
                <wp:effectExtent l="6985" t="12700" r="12065" b="10795"/>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B82E6F4" id="Rectangle 3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a suferit condamnări definitive din cauza unei conduite profesionale îndreptate împotriva legii, decizie formulată de o autoritate de judecată ce are forţă de res judicata (ex. împotriva căreia nu se poate face recurs) în ultimele 36 de luni.</w:t>
      </w:r>
    </w:p>
    <w:p w14:paraId="71F3A509" w14:textId="2698189C" w:rsidR="001A07AC" w:rsidRPr="00617FC7" w:rsidRDefault="001A07AC" w:rsidP="001A07AC">
      <w:pPr>
        <w:spacing w:before="0" w:after="200"/>
        <w:rPr>
          <w:rFonts w:eastAsia="Calibri" w:cs="Times New Roman"/>
          <w:color w:val="0070C0"/>
        </w:rPr>
      </w:pPr>
      <w:r w:rsidRPr="007E50D5">
        <w:rPr>
          <w:rFonts w:eastAsia="Calibri" w:cs="Times New Roman"/>
          <w:b/>
          <w:color w:val="0070C0"/>
        </w:rPr>
        <w:t>Mă angajez ca organizația pe care o reprezint</w:t>
      </w:r>
    </w:p>
    <w:p w14:paraId="2B0F48C0" w14:textId="77777777"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4B2D6A5" wp14:editId="6BE15107">
                <wp:extent cx="190500" cy="128905"/>
                <wp:effectExtent l="6985" t="15240" r="12065" b="8255"/>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D413F1C" id="Rectangle 3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Pr="004A17C1">
        <w:rPr>
          <w:rFonts w:eastAsia="Calibri" w:cs="Times New Roman"/>
          <w:color w:val="0070C0"/>
        </w:rPr>
        <w:t>Să respecte legislația privind achizițiile publice și declară că în cazul în care au fost demarate activități înainte de depunerea proiectului, eventualele proceduri de achiziții publice aferente acestor activități au respectat legislaţia privind achizițiile publice</w:t>
      </w:r>
    </w:p>
    <w:p w14:paraId="0466B89B" w14:textId="03E5D759"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DEE789F" wp14:editId="00964801">
                <wp:extent cx="190500" cy="128905"/>
                <wp:effectExtent l="6985" t="8255" r="12065" b="15240"/>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63FC048" id="Rectangle 3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În cazul obținerii finanțării, să respecte toate cerințele privind caracterul durabil al proiectului, așa cum sunt specificate în Ghidul solicitantului în conformitate cu prevederile art. 65 din Regulamentul (UE) 2021</w:t>
      </w:r>
      <w:r w:rsidR="00DA4887">
        <w:rPr>
          <w:rFonts w:eastAsia="Calibri" w:cs="Times New Roman"/>
          <w:color w:val="0070C0"/>
        </w:rPr>
        <w:t>/</w:t>
      </w:r>
      <w:r w:rsidR="00DA4887" w:rsidRPr="007E50D5">
        <w:rPr>
          <w:rFonts w:eastAsia="Calibri" w:cs="Times New Roman"/>
          <w:color w:val="0070C0"/>
        </w:rPr>
        <w:t>1060</w:t>
      </w:r>
      <w:r w:rsidR="00287D4D">
        <w:rPr>
          <w:rFonts w:eastAsia="Calibri" w:cs="Times New Roman"/>
          <w:color w:val="0070C0"/>
        </w:rPr>
        <w:t xml:space="preserve">, </w:t>
      </w:r>
      <w:r w:rsidR="0037142D">
        <w:rPr>
          <w:rFonts w:eastAsia="Calibri" w:cs="Times New Roman"/>
          <w:color w:val="0070C0"/>
        </w:rPr>
        <w:t>ale Regulamentului (UE) nr. 651/2014</w:t>
      </w:r>
      <w:r w:rsidR="00287D4D">
        <w:rPr>
          <w:rFonts w:eastAsia="Calibri" w:cs="Times New Roman"/>
          <w:color w:val="0070C0"/>
        </w:rPr>
        <w:t xml:space="preserve"> și schemei de ajutor de stat aprobată prin OMIPE nr. 3284/31.08.2024</w:t>
      </w:r>
      <w:r w:rsidR="00DA4887">
        <w:rPr>
          <w:rFonts w:eastAsia="Calibri" w:cs="Times New Roman"/>
          <w:color w:val="0070C0"/>
        </w:rPr>
        <w:t xml:space="preserve"> cu modificările și completările ulterioare</w:t>
      </w:r>
      <w:r w:rsidRPr="007E50D5">
        <w:rPr>
          <w:rFonts w:eastAsia="Calibri" w:cs="Times New Roman"/>
          <w:color w:val="0070C0"/>
        </w:rPr>
        <w:t>.</w:t>
      </w:r>
    </w:p>
    <w:p w14:paraId="73C4D764"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2054F27B" wp14:editId="75E7214A">
                <wp:extent cx="190500" cy="128905"/>
                <wp:effectExtent l="6985" t="11430" r="12065" b="12065"/>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0D3B2CF" id="Rectangle 37"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respecte, pe durata pregătirii şi implementării proiectului, prevederile legislației europene şi naţionale în domeniul dezvoltării durabile, inclusiv DNSH, imunizarea la schimbări climatice, egalităţii de şanse, şi nediscriminării, egalităţii de gen, GDPR, Carta drepturilor fundamentale a Uniunii Europene, Convenției ONU privind drepturile persoanelor cu handicap, în domeniul ajutorului de stat și/sau de minimis (acolo unde este cazul), precum și dreptul aplicabil al Uniunii din domeniul spălării banilor, al finanțării terorismului, al evitării obligațiilor fiscale, al fraudei fiscale sau al evaziunii fiscale.</w:t>
      </w:r>
    </w:p>
    <w:p w14:paraId="6188034C"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3EF4F999" wp14:editId="57183F6B">
                <wp:extent cx="190500" cy="128905"/>
                <wp:effectExtent l="6985" t="8255" r="12065" b="15240"/>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9CF94F7" id="Rectangle 3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Înțelege că nerespectarea condiţiilor de eligibilitate conform ghidului solicitantului, oricând pe perioada procesului de evaluare, selecţie şi contractare, va conduce la respingerea cererii de finanţare. În acest sens, înţelege că orice situaţie, eveniment ori modificare care afectează sau ar putea afecta respectarea condiţiilor de eligibilitate menţionate în Ghidul solicitantului vor fi aduse la cunoştinţa AM/OI în termen cel mult 5 zile de la luarea la cunoştinţă a situaţiei respective.</w:t>
      </w:r>
    </w:p>
    <w:p w14:paraId="39F37112"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845C7BB" wp14:editId="080C454D">
                <wp:extent cx="190500" cy="128905"/>
                <wp:effectExtent l="15240" t="6350" r="13335" b="7620"/>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A42E473" id="Rectangle 4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ia toate măsurile pentru respectarea regulilor privind evitarea conflictului de interese, în conformitate cu reglementările europene şi naţionale în vigoare.</w:t>
      </w:r>
    </w:p>
    <w:p w14:paraId="4B45A00C"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9CB51D2" wp14:editId="680EBDA1">
                <wp:extent cx="190500" cy="128905"/>
                <wp:effectExtent l="15240" t="13335" r="13335" b="10160"/>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DD1F26F" id="Rectangle 4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nu depună un proiect finalizat care, potrivit art.2 al Regulamentului (UE) nr. 2021/1060, pct.37, reprezintă proiectul care a fost încheiat în mod fizic sau care a fost implementat integral și pentru care toate plățile aferente au fost efectuate de beneficiari, iar contribuția publică relevantă a fost plătită beneficiarului</w:t>
      </w:r>
    </w:p>
    <w:p w14:paraId="4919C466"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188DA940" wp14:editId="0DA2B4F9">
                <wp:extent cx="190500" cy="128905"/>
                <wp:effectExtent l="15240" t="12700" r="13335" b="10795"/>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871ECDF" id="Rectangle 4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nu realizeze o modificare substanțială care afectează natura, obiectivele sa condițiile de realizare și care ar determina subminarea obiectivelor inițiale ale investiției</w:t>
      </w:r>
    </w:p>
    <w:p w14:paraId="7C90674D"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36057B31" wp14:editId="0B53CC43">
                <wp:extent cx="190500" cy="128905"/>
                <wp:effectExtent l="15240" t="10160" r="13335" b="13335"/>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131877D" id="Rectangle 4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asigure </w:t>
      </w:r>
      <w:r w:rsidR="008021BD" w:rsidRPr="007E50D5">
        <w:rPr>
          <w:rFonts w:eastAsia="Calibri" w:cs="Times New Roman"/>
          <w:color w:val="0070C0"/>
        </w:rPr>
        <w:t>contribuția</w:t>
      </w:r>
      <w:r w:rsidRPr="007E50D5">
        <w:rPr>
          <w:rFonts w:eastAsia="Calibri" w:cs="Times New Roman"/>
          <w:color w:val="0070C0"/>
        </w:rPr>
        <w:t xml:space="preserve"> proprie declarată în secțiunea aferentă din Cererea de Finanțare.</w:t>
      </w:r>
    </w:p>
    <w:p w14:paraId="4AD7E48A"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28CFE86E" wp14:editId="4B147F61">
                <wp:extent cx="190500" cy="128905"/>
                <wp:effectExtent l="15240" t="11430" r="13335" b="12065"/>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E74B8C6" id="Rectangle 4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Să </w:t>
      </w:r>
      <w:r w:rsidR="008021BD" w:rsidRPr="007E50D5">
        <w:rPr>
          <w:rFonts w:eastAsia="Calibri" w:cs="Times New Roman"/>
          <w:color w:val="0070C0"/>
        </w:rPr>
        <w:t>finanțeze</w:t>
      </w:r>
      <w:r w:rsidRPr="007E50D5">
        <w:rPr>
          <w:rFonts w:eastAsia="Calibri" w:cs="Times New Roman"/>
          <w:color w:val="0070C0"/>
        </w:rPr>
        <w:t xml:space="preserve"> toate costurile, inclusiv costurile neeligibile, dar necesare, aferente proiectului</w:t>
      </w:r>
    </w:p>
    <w:p w14:paraId="57676DCE" w14:textId="20AD315F"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6C6787A6" wp14:editId="5ACBDC38">
                <wp:extent cx="190500" cy="128905"/>
                <wp:effectExtent l="15240" t="12700" r="13335" b="10795"/>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4F752DD" id="Rectangle 4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008021BD" w:rsidRPr="008021BD">
        <w:t xml:space="preserve"> </w:t>
      </w:r>
      <w:r w:rsidR="008021BD" w:rsidRPr="008021BD">
        <w:rPr>
          <w:rFonts w:eastAsia="Calibri" w:cs="Times New Roman"/>
          <w:color w:val="0070C0"/>
        </w:rPr>
        <w:t xml:space="preserve">Să mențină dreptul prevăzut în ghidul solicitantului asupra infrastructurii construită/reabilitată/modernizată /extinsă (unde este cazul), a bunurilor achiziționate şi natura activității pentru care s-a acordat finanțare şi să nu ipotecheze, cu excepția situațiilor prevăzute în </w:t>
      </w:r>
      <w:r w:rsidR="008021BD" w:rsidRPr="008021BD">
        <w:rPr>
          <w:rFonts w:eastAsia="Calibri" w:cs="Times New Roman"/>
          <w:color w:val="0070C0"/>
        </w:rPr>
        <w:lastRenderedPageBreak/>
        <w:t>contractul de finanțare, pe o perioadă de timp cel puțin egală cu perioada de implementare și cea de durabilitate a proiectului.</w:t>
      </w:r>
    </w:p>
    <w:p w14:paraId="35EC525A" w14:textId="77777777" w:rsidR="00E51B00" w:rsidRPr="007E50D5" w:rsidRDefault="00E51B00" w:rsidP="00E51B00">
      <w:pPr>
        <w:spacing w:before="0" w:after="200"/>
        <w:jc w:val="left"/>
        <w:rPr>
          <w:rFonts w:eastAsia="Calibri" w:cs="Times New Roman"/>
          <w:color w:val="0070C0"/>
        </w:rPr>
      </w:pPr>
      <w:r>
        <w:rPr>
          <w:noProof/>
          <w:color w:val="0070C0"/>
          <w:lang w:val="en-US"/>
        </w:rPr>
        <mc:AlternateContent>
          <mc:Choice Requires="wps">
            <w:drawing>
              <wp:inline distT="0" distB="0" distL="0" distR="0" wp14:anchorId="59CC465B" wp14:editId="0CB3EE1F">
                <wp:extent cx="190500" cy="128905"/>
                <wp:effectExtent l="15240" t="14605" r="13335" b="8890"/>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FF412F7" id="Rectangle 49"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Declar că am luat la cunoștință că în etapa de contractare am obligația să fac dovada tuturor celor declarate prin prezenta Declarație, sub sancțiunea respingerii cererii de finanțare.</w:t>
      </w:r>
    </w:p>
    <w:p w14:paraId="46200A5B" w14:textId="77777777" w:rsidR="00617FC7" w:rsidRPr="007E50D5" w:rsidRDefault="00617FC7" w:rsidP="00617FC7">
      <w:pPr>
        <w:spacing w:before="0" w:after="200"/>
        <w:rPr>
          <w:rFonts w:eastAsia="Calibri" w:cs="Times New Roman"/>
          <w:color w:val="0070C0"/>
        </w:rPr>
      </w:pPr>
      <w:r>
        <w:rPr>
          <w:noProof/>
          <w:color w:val="0070C0"/>
          <w:lang w:val="en-US"/>
        </w:rPr>
        <mc:AlternateContent>
          <mc:Choice Requires="wps">
            <w:drawing>
              <wp:inline distT="0" distB="0" distL="0" distR="0" wp14:anchorId="6DC2E5AA" wp14:editId="68F192C2">
                <wp:extent cx="190500" cy="128905"/>
                <wp:effectExtent l="15240" t="7620" r="13335" b="6350"/>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97F5913" id="Rectangle 4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Declar că sunt pe deplin autorizat să semnez această declarație în numele &lt;denumire solicitant/partener&gt;</w:t>
      </w:r>
    </w:p>
    <w:p w14:paraId="3AE72A42" w14:textId="77777777" w:rsidR="0050125C" w:rsidRDefault="0050125C" w:rsidP="00E51B00">
      <w:pPr>
        <w:spacing w:before="0" w:after="200"/>
        <w:rPr>
          <w:rFonts w:eastAsia="Calibri" w:cs="Times New Roman"/>
          <w:b/>
          <w:bCs/>
          <w:color w:val="0070C0"/>
        </w:rPr>
      </w:pPr>
    </w:p>
    <w:p w14:paraId="514CF852" w14:textId="77777777" w:rsidR="0040612B" w:rsidRPr="00E51B00" w:rsidRDefault="0040612B" w:rsidP="00E51B00">
      <w:pPr>
        <w:shd w:val="clear" w:color="auto" w:fill="8DB3E2" w:themeFill="text2" w:themeFillTint="66"/>
        <w:spacing w:before="0" w:after="200"/>
        <w:jc w:val="center"/>
        <w:rPr>
          <w:rFonts w:eastAsia="Calibri" w:cs="Times New Roman"/>
          <w:b/>
          <w:bCs/>
        </w:rPr>
      </w:pPr>
      <w:r w:rsidRPr="00E51B00">
        <w:rPr>
          <w:rFonts w:eastAsia="Calibri" w:cs="Times New Roman"/>
          <w:b/>
          <w:bCs/>
        </w:rPr>
        <w:t>ORGANIZATIA DE CERCETARE</w:t>
      </w:r>
    </w:p>
    <w:p w14:paraId="10DF5389" w14:textId="4CA8AB1E" w:rsidR="00E51B00" w:rsidRDefault="00C67411" w:rsidP="003A5499">
      <w:pPr>
        <w:spacing w:before="0" w:after="200"/>
        <w:rPr>
          <w:rFonts w:eastAsia="Calibri" w:cs="Times New Roman"/>
          <w:color w:val="0070C0"/>
        </w:rPr>
      </w:pPr>
      <w:r>
        <w:rPr>
          <w:rFonts w:eastAsia="Calibri" w:cs="Times New Roman"/>
          <w:b/>
          <w:color w:val="0070C0"/>
        </w:rPr>
        <w:t>O</w:t>
      </w:r>
      <w:r w:rsidR="00E51B00" w:rsidRPr="0040612B">
        <w:rPr>
          <w:rFonts w:eastAsia="Calibri" w:cs="Times New Roman"/>
          <w:b/>
          <w:color w:val="0070C0"/>
        </w:rPr>
        <w:t>rganizație de cercetare</w:t>
      </w:r>
      <w:r w:rsidR="00E51B00">
        <w:rPr>
          <w:rFonts w:eastAsia="Calibri" w:cs="Times New Roman"/>
          <w:color w:val="0070C0"/>
        </w:rPr>
        <w:t xml:space="preserve"> </w:t>
      </w:r>
      <w:r w:rsidR="00E51B00" w:rsidRPr="007E50D5">
        <w:rPr>
          <w:rFonts w:eastAsia="Calibri" w:cs="Times New Roman"/>
          <w:color w:val="0070C0"/>
        </w:rPr>
        <w:t xml:space="preserve">completează Declarația unică după formatul anexă la ghidul solicitantului, respectiv secțiunile care se aplică prezentei metodologii: </w:t>
      </w:r>
    </w:p>
    <w:p w14:paraId="629457E7" w14:textId="77777777" w:rsidR="003A5499" w:rsidRPr="00BB0934" w:rsidRDefault="009A504F" w:rsidP="003A5499">
      <w:pPr>
        <w:spacing w:before="0" w:after="200"/>
        <w:rPr>
          <w:rFonts w:eastAsia="Calibri" w:cs="Times New Roman"/>
          <w:b/>
          <w:color w:val="0070C0"/>
        </w:rPr>
      </w:pPr>
      <w:r>
        <w:rPr>
          <w:rFonts w:eastAsia="Calibri" w:cs="Times New Roman"/>
          <w:b/>
          <w:color w:val="0070C0"/>
        </w:rPr>
        <w:t>Solicitantul de finanțare:</w:t>
      </w:r>
    </w:p>
    <w:p w14:paraId="6FFD2E67" w14:textId="1A4B76BA" w:rsidR="004631F6" w:rsidRDefault="004631F6" w:rsidP="00D71FE9">
      <w:pPr>
        <w:tabs>
          <w:tab w:val="left" w:pos="567"/>
        </w:tabs>
        <w:spacing w:before="0" w:after="200"/>
        <w:rPr>
          <w:rFonts w:eastAsia="Calibri" w:cs="Times New Roman"/>
          <w:color w:val="0070C0"/>
        </w:rPr>
      </w:pPr>
      <w:r>
        <w:rPr>
          <w:noProof/>
          <w:color w:val="0070C0"/>
          <w:lang w:val="en-US"/>
        </w:rPr>
        <mc:AlternateContent>
          <mc:Choice Requires="wps">
            <w:drawing>
              <wp:inline distT="0" distB="0" distL="0" distR="0" wp14:anchorId="1697FAD0" wp14:editId="5F7DCB56">
                <wp:extent cx="190500" cy="128905"/>
                <wp:effectExtent l="15240" t="12065" r="13335" b="11430"/>
                <wp:docPr id="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F5D7A0B"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4631F6">
        <w:rPr>
          <w:rFonts w:eastAsia="Calibri" w:cs="Times New Roman"/>
          <w:color w:val="0070C0"/>
        </w:rPr>
        <w:t>Este înregistrat</w:t>
      </w:r>
      <w:r w:rsidR="004E20A2">
        <w:rPr>
          <w:rFonts w:eastAsia="Calibri" w:cs="Times New Roman"/>
          <w:color w:val="0070C0"/>
        </w:rPr>
        <w:t>ă</w:t>
      </w:r>
      <w:r w:rsidRPr="004631F6">
        <w:rPr>
          <w:rFonts w:eastAsia="Calibri" w:cs="Times New Roman"/>
          <w:color w:val="0070C0"/>
        </w:rPr>
        <w:t xml:space="preserve"> și își desfășoară activitatea în România</w:t>
      </w:r>
    </w:p>
    <w:p w14:paraId="6FB3C384" w14:textId="669588DC" w:rsidR="00287D4D" w:rsidRDefault="00D72E69" w:rsidP="007C6E6F">
      <w:pPr>
        <w:tabs>
          <w:tab w:val="left" w:pos="567"/>
        </w:tabs>
        <w:spacing w:before="0" w:after="200"/>
        <w:rPr>
          <w:rFonts w:eastAsia="Calibri" w:cs="Times New Roman"/>
          <w:color w:val="0070C0"/>
        </w:rPr>
      </w:pPr>
      <w:r w:rsidRPr="00D71FE9">
        <w:rPr>
          <w:rFonts w:eastAsia="Calibri" w:cs="Times New Roman"/>
          <w:noProof/>
          <w:color w:val="0070C0"/>
          <w:lang w:val="en-US"/>
        </w:rPr>
        <mc:AlternateContent>
          <mc:Choice Requires="wps">
            <w:drawing>
              <wp:inline distT="0" distB="0" distL="0" distR="0" wp14:anchorId="77EE90E8" wp14:editId="163A1F5A">
                <wp:extent cx="190500" cy="128905"/>
                <wp:effectExtent l="15240" t="12065" r="13335" b="11430"/>
                <wp:docPr id="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6737432"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DF2F1F">
        <w:rPr>
          <w:rFonts w:eastAsia="Calibri" w:cs="Times New Roman"/>
          <w:color w:val="0070C0"/>
        </w:rPr>
        <w:t xml:space="preserve"> </w:t>
      </w:r>
      <w:r w:rsidR="00DA4887">
        <w:rPr>
          <w:rFonts w:eastAsia="Calibri" w:cs="Times New Roman"/>
          <w:color w:val="0070C0"/>
        </w:rPr>
        <w:t>Este organizație de cercetare conform ghidului solicitantului.</w:t>
      </w:r>
      <w:r w:rsidR="00287D4D" w:rsidRPr="00287D4D">
        <w:rPr>
          <w:rFonts w:eastAsia="Calibri" w:cs="Times New Roman"/>
          <w:color w:val="0070C0"/>
        </w:rPr>
        <w:t xml:space="preserve"> </w:t>
      </w:r>
    </w:p>
    <w:p w14:paraId="569E22EC" w14:textId="14971A84" w:rsidR="00961438" w:rsidRPr="007E50D5" w:rsidRDefault="00961438" w:rsidP="00A215C5">
      <w:pPr>
        <w:tabs>
          <w:tab w:val="left" w:pos="567"/>
        </w:tabs>
        <w:spacing w:before="0" w:after="200"/>
        <w:rPr>
          <w:color w:val="0070C0"/>
        </w:rPr>
      </w:pPr>
    </w:p>
    <w:p w14:paraId="0BAEA416" w14:textId="77777777" w:rsidR="0040612B" w:rsidRPr="00E51B00" w:rsidRDefault="0040612B" w:rsidP="00E51B00">
      <w:pPr>
        <w:shd w:val="clear" w:color="auto" w:fill="8DB3E2" w:themeFill="text2" w:themeFillTint="66"/>
        <w:spacing w:before="0" w:after="200"/>
        <w:jc w:val="center"/>
        <w:rPr>
          <w:rFonts w:eastAsia="Calibri" w:cs="Times New Roman"/>
          <w:b/>
          <w:bCs/>
        </w:rPr>
      </w:pPr>
      <w:r w:rsidRPr="00E51B00">
        <w:rPr>
          <w:rFonts w:eastAsia="Calibri" w:cs="Times New Roman"/>
          <w:b/>
          <w:bCs/>
        </w:rPr>
        <w:t>IMM</w:t>
      </w:r>
    </w:p>
    <w:p w14:paraId="45D98621" w14:textId="77777777" w:rsidR="00E51B00" w:rsidRDefault="00E51B00" w:rsidP="00E51B00">
      <w:pPr>
        <w:spacing w:before="0" w:after="200"/>
        <w:rPr>
          <w:rFonts w:eastAsia="Calibri" w:cs="Times New Roman"/>
          <w:color w:val="0070C0"/>
        </w:rPr>
      </w:pPr>
      <w:r w:rsidRPr="00C424E2">
        <w:rPr>
          <w:rFonts w:eastAsia="Calibri" w:cs="Times New Roman"/>
          <w:color w:val="0070C0"/>
        </w:rPr>
        <w:t xml:space="preserve">IMM completează Declarația unică după formatul anexă la ghidul solicitantului, respectiv secțiunile care se aplică prezentei metodologii: </w:t>
      </w:r>
    </w:p>
    <w:p w14:paraId="44FB8B49" w14:textId="77777777" w:rsidR="00136681" w:rsidRDefault="00617FC7" w:rsidP="00136681">
      <w:pPr>
        <w:tabs>
          <w:tab w:val="left" w:pos="567"/>
        </w:tabs>
        <w:spacing w:before="0" w:after="200"/>
        <w:rPr>
          <w:rFonts w:eastAsia="Calibri" w:cs="Times New Roman"/>
          <w:b/>
          <w:color w:val="0070C0"/>
        </w:rPr>
      </w:pPr>
      <w:r>
        <w:rPr>
          <w:rFonts w:eastAsia="Calibri" w:cs="Times New Roman"/>
          <w:b/>
          <w:color w:val="0070C0"/>
        </w:rPr>
        <w:t>Solicitantul de finanțare:</w:t>
      </w:r>
    </w:p>
    <w:p w14:paraId="011B4D8F" w14:textId="77777777" w:rsidR="00136681" w:rsidRDefault="00136681" w:rsidP="00136681">
      <w:pPr>
        <w:tabs>
          <w:tab w:val="left" w:pos="567"/>
        </w:tabs>
        <w:spacing w:before="0" w:after="200"/>
        <w:rPr>
          <w:rFonts w:eastAsia="Calibri" w:cs="Times New Roman"/>
          <w:color w:val="0070C0"/>
        </w:rPr>
      </w:pPr>
      <w:r>
        <w:rPr>
          <w:noProof/>
          <w:color w:val="0070C0"/>
          <w:lang w:val="en-US"/>
        </w:rPr>
        <mc:AlternateContent>
          <mc:Choice Requires="wps">
            <w:drawing>
              <wp:inline distT="0" distB="0" distL="0" distR="0" wp14:anchorId="4ED177F7" wp14:editId="54F42861">
                <wp:extent cx="190500" cy="128905"/>
                <wp:effectExtent l="15240" t="12065" r="13335" b="11430"/>
                <wp:docPr id="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CB31774"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ab/>
      </w:r>
      <w:r w:rsidRPr="00617FC7">
        <w:rPr>
          <w:rFonts w:eastAsia="Calibri" w:cs="Times New Roman"/>
          <w:color w:val="0070C0"/>
        </w:rPr>
        <w:t>IMM are sediul sau o sucursală în România la momentul plății ajutorului</w:t>
      </w:r>
    </w:p>
    <w:p w14:paraId="0F7B18DB" w14:textId="77777777" w:rsidR="00E51B00" w:rsidRPr="00231F44"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35BDEF6D" wp14:editId="5296E870">
                <wp:extent cx="190500" cy="128905"/>
                <wp:effectExtent l="15240" t="12065" r="13335" b="11430"/>
                <wp:docPr id="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7A5012A" id="Rectangle 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073FD6">
        <w:rPr>
          <w:rFonts w:eastAsia="Calibri" w:cs="Times New Roman"/>
          <w:color w:val="0070C0"/>
        </w:rPr>
        <w:t>Se încadrează în categoria microîntreprinderilor, întreprinderilor mici sau a întreprinderilor mijlocii, conform prevederilor Recomandării Comisiei privind definirea microîntreprinderilor și a întreprinderilor mici și mijlocii, în anexa I a Regulamentului nr. 651/2014, cu modificările și completările ulterioare, după cum urmează:</w:t>
      </w:r>
    </w:p>
    <w:p w14:paraId="00753BFE" w14:textId="062BB9F3" w:rsidR="00E51B00" w:rsidRPr="00850CFC" w:rsidRDefault="00850CFC" w:rsidP="00850CFC">
      <w:pPr>
        <w:spacing w:before="0" w:after="200"/>
        <w:ind w:left="360"/>
        <w:rPr>
          <w:rFonts w:eastAsia="Calibri" w:cs="Times New Roman"/>
          <w:color w:val="0070C0"/>
        </w:rPr>
      </w:pPr>
      <w:r>
        <w:rPr>
          <w:noProof/>
          <w:color w:val="0070C0"/>
          <w:lang w:val="en-US"/>
        </w:rPr>
        <mc:AlternateContent>
          <mc:Choice Requires="wps">
            <w:drawing>
              <wp:inline distT="0" distB="0" distL="0" distR="0" wp14:anchorId="141CCF81" wp14:editId="3051380B">
                <wp:extent cx="190500" cy="128905"/>
                <wp:effectExtent l="15240" t="11430" r="13335" b="12065"/>
                <wp:docPr id="3655440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E9E2C3A"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00E51B00" w:rsidRPr="00850CFC">
        <w:rPr>
          <w:rFonts w:eastAsia="Calibri" w:cs="Times New Roman"/>
          <w:color w:val="0070C0"/>
        </w:rPr>
        <w:t>Microîntreprindere - este definită ca fiind o întreprindere care are mai puţin de 10 angajaţi și a cărei cifră de afaceri anuală și/sau al cărei bilanţ anual total nu depășește 2 milioane EUR.</w:t>
      </w:r>
    </w:p>
    <w:p w14:paraId="2C8B2141" w14:textId="30CAD229" w:rsidR="00E51B00" w:rsidRPr="00850CFC" w:rsidRDefault="00850CFC" w:rsidP="00850CFC">
      <w:pPr>
        <w:spacing w:before="0" w:after="200"/>
        <w:ind w:left="360"/>
        <w:rPr>
          <w:rFonts w:eastAsia="Calibri" w:cs="Times New Roman"/>
          <w:color w:val="0070C0"/>
        </w:rPr>
      </w:pPr>
      <w:r>
        <w:rPr>
          <w:noProof/>
          <w:color w:val="0070C0"/>
          <w:lang w:val="en-US"/>
        </w:rPr>
        <mc:AlternateContent>
          <mc:Choice Requires="wps">
            <w:drawing>
              <wp:inline distT="0" distB="0" distL="0" distR="0" wp14:anchorId="54D0A337" wp14:editId="631245AD">
                <wp:extent cx="190500" cy="128905"/>
                <wp:effectExtent l="15240" t="11430" r="13335" b="12065"/>
                <wp:docPr id="17937851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5ED781E"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00E51B00" w:rsidRPr="00850CFC">
        <w:rPr>
          <w:rFonts w:eastAsia="Calibri" w:cs="Times New Roman"/>
          <w:color w:val="0070C0"/>
        </w:rPr>
        <w:t>Întreprindere mică - este definită ca fiind o întreprindere care are mai puţin de 50 de angajaţi și a cărei cifră de afaceri anuală și/sau al cărei bilanţ anual total nu depășește 10 milioane EUR.</w:t>
      </w:r>
    </w:p>
    <w:p w14:paraId="70878F9E" w14:textId="3B0A9571" w:rsidR="00E51B00" w:rsidRPr="00850CFC" w:rsidRDefault="00850CFC" w:rsidP="00850CFC">
      <w:pPr>
        <w:spacing w:before="0" w:after="200"/>
        <w:ind w:left="360"/>
        <w:rPr>
          <w:rFonts w:eastAsia="Calibri" w:cs="Times New Roman"/>
          <w:color w:val="0070C0"/>
        </w:rPr>
      </w:pPr>
      <w:r>
        <w:rPr>
          <w:noProof/>
          <w:color w:val="0070C0"/>
          <w:lang w:val="en-US"/>
        </w:rPr>
        <mc:AlternateContent>
          <mc:Choice Requires="wps">
            <w:drawing>
              <wp:inline distT="0" distB="0" distL="0" distR="0" wp14:anchorId="3DC524C2" wp14:editId="4F1FF9B9">
                <wp:extent cx="190500" cy="128905"/>
                <wp:effectExtent l="15240" t="11430" r="13335" b="12065"/>
                <wp:docPr id="7656481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9CB2738"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00E51B00" w:rsidRPr="00850CFC">
        <w:rPr>
          <w:rFonts w:eastAsia="Calibri" w:cs="Times New Roman"/>
          <w:color w:val="0070C0"/>
        </w:rPr>
        <w:t>Întreprindere mijlocie -  este definită ca fiind o întreprindere  care au mai puţin de 250 de angajaţi și a căror cifră de afaceri anuală nu depășește 50 de milioane EUR și/sau al căror bilanţ anual total nu depășește 43 de milioane EUR.</w:t>
      </w:r>
    </w:p>
    <w:p w14:paraId="1B9D9BA8"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025FE13D" wp14:editId="33509EC1">
                <wp:extent cx="190500" cy="128905"/>
                <wp:effectExtent l="15240" t="11430" r="13335" b="12065"/>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1D03552" id="Rectangle 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Nu se încadrează în categoria întreprinderilor în dificultate în anul fiscal anterior depunerii cererii de finanțare, respectiv anul 2022.</w:t>
      </w:r>
    </w:p>
    <w:p w14:paraId="08694E3B" w14:textId="51297759" w:rsidR="00E51B00" w:rsidRDefault="00E51B00" w:rsidP="0079507D">
      <w:pPr>
        <w:spacing w:before="0" w:after="200"/>
        <w:rPr>
          <w:rFonts w:eastAsia="Calibri" w:cs="Times New Roman"/>
          <w:color w:val="0070C0"/>
        </w:rPr>
      </w:pPr>
      <w:r>
        <w:rPr>
          <w:noProof/>
          <w:color w:val="0070C0"/>
          <w:lang w:val="en-US"/>
        </w:rPr>
        <w:lastRenderedPageBreak/>
        <mc:AlternateContent>
          <mc:Choice Requires="wps">
            <w:drawing>
              <wp:inline distT="0" distB="0" distL="0" distR="0" wp14:anchorId="36E7116E" wp14:editId="59948618">
                <wp:extent cx="190500" cy="128905"/>
                <wp:effectExtent l="15240" t="8255" r="13335" b="15240"/>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89800E1" id="Rectangle 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5C38B0" w:rsidRPr="005C38B0">
        <w:rPr>
          <w:rFonts w:eastAsia="Calibri" w:cs="Times New Roman"/>
          <w:color w:val="0070C0"/>
        </w:rPr>
        <w:t>Solicitantul, cu excepția celor  care solicită ajutoare doar în baza art. 6 alin. (1) lit. a), b), g) și h) din schema de ajutor de stat (sau o combinație între aceste categorii) are, la contractarea proiectului, fie menționat în statut activitatea de cercetare (cod-uri CAEN 7211, 7219, 7220), fie face dovada că desfășoară/a desfășurat activitate de cercetare în domeniul său de activitate declarat în statut</w:t>
      </w:r>
      <w:r w:rsidR="005C38B0">
        <w:rPr>
          <w:rFonts w:eastAsia="Calibri" w:cs="Times New Roman"/>
          <w:color w:val="0070C0"/>
        </w:rPr>
        <w:t xml:space="preserve"> </w:t>
      </w:r>
    </w:p>
    <w:p w14:paraId="4AEAEAE0" w14:textId="77777777" w:rsidR="00E51B00" w:rsidRPr="00136681" w:rsidRDefault="00E51B00" w:rsidP="00E51B00">
      <w:pPr>
        <w:spacing w:before="0" w:after="200"/>
        <w:rPr>
          <w:rFonts w:eastAsia="Calibri" w:cs="Times New Roman"/>
          <w:b/>
          <w:color w:val="0070C0"/>
        </w:rPr>
      </w:pPr>
      <w:r w:rsidRPr="00136681">
        <w:rPr>
          <w:rFonts w:eastAsia="Calibri" w:cs="Times New Roman"/>
          <w:b/>
          <w:color w:val="0070C0"/>
        </w:rPr>
        <w:t xml:space="preserve">Proiectul </w:t>
      </w:r>
    </w:p>
    <w:p w14:paraId="31416B1E" w14:textId="77777777" w:rsidR="00961438" w:rsidRPr="007E50D5" w:rsidRDefault="00E51B00" w:rsidP="00136681">
      <w:pPr>
        <w:spacing w:before="0" w:after="200"/>
        <w:rPr>
          <w:color w:val="0070C0"/>
        </w:rPr>
      </w:pPr>
      <w:r>
        <w:rPr>
          <w:noProof/>
          <w:color w:val="0070C0"/>
          <w:lang w:val="en-US"/>
        </w:rPr>
        <mc:AlternateContent>
          <mc:Choice Requires="wps">
            <w:drawing>
              <wp:inline distT="0" distB="0" distL="0" distR="0" wp14:anchorId="31E93E75" wp14:editId="5C0DCC05">
                <wp:extent cx="190500" cy="128905"/>
                <wp:effectExtent l="6985" t="14605" r="12065" b="8890"/>
                <wp:docPr id="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9197E77" id="Rectangle 2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sidRPr="007E50D5">
        <w:rPr>
          <w:rFonts w:eastAsia="Calibri" w:cs="Times New Roman"/>
          <w:color w:val="0070C0"/>
        </w:rPr>
        <w:t xml:space="preserve"> </w:t>
      </w:r>
      <w:r w:rsidR="00C67411">
        <w:rPr>
          <w:rFonts w:eastAsia="Calibri" w:cs="Times New Roman"/>
          <w:color w:val="0070C0"/>
        </w:rPr>
        <w:t>R</w:t>
      </w:r>
      <w:r w:rsidRPr="007E50D5">
        <w:rPr>
          <w:rFonts w:eastAsia="Calibri" w:cs="Times New Roman"/>
          <w:color w:val="0070C0"/>
        </w:rPr>
        <w:t>espectă intensitatea maximă admisă conform ratelor de cofinanțare prevăzute în schemele de finanțare aplicabile ghidului solicitantului</w:t>
      </w:r>
    </w:p>
    <w:sectPr w:rsidR="00961438" w:rsidRPr="007E50D5" w:rsidSect="00D5472D">
      <w:headerReference w:type="default" r:id="rId8"/>
      <w:pgSz w:w="11906" w:h="16838" w:code="9"/>
      <w:pgMar w:top="1134" w:right="851"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A5936" w14:textId="77777777" w:rsidR="00ED785F" w:rsidRDefault="00ED785F" w:rsidP="002C069A">
      <w:pPr>
        <w:spacing w:line="240" w:lineRule="auto"/>
      </w:pPr>
      <w:r>
        <w:separator/>
      </w:r>
    </w:p>
  </w:endnote>
  <w:endnote w:type="continuationSeparator" w:id="0">
    <w:p w14:paraId="42416186" w14:textId="77777777" w:rsidR="00ED785F" w:rsidRDefault="00ED785F" w:rsidP="002C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E3D5" w14:textId="77777777" w:rsidR="00ED785F" w:rsidRDefault="00ED785F" w:rsidP="002C069A">
      <w:pPr>
        <w:spacing w:line="240" w:lineRule="auto"/>
      </w:pPr>
      <w:r>
        <w:separator/>
      </w:r>
    </w:p>
  </w:footnote>
  <w:footnote w:type="continuationSeparator" w:id="0">
    <w:p w14:paraId="48B734B6" w14:textId="77777777" w:rsidR="00ED785F" w:rsidRDefault="00ED785F" w:rsidP="002C0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050D" w14:textId="77777777" w:rsidR="00CE2801" w:rsidRPr="0091374D" w:rsidRDefault="00CE2801" w:rsidP="00CE2801">
    <w:pPr>
      <w:tabs>
        <w:tab w:val="left" w:pos="0"/>
        <w:tab w:val="right" w:pos="9781"/>
      </w:tabs>
      <w:spacing w:before="0" w:line="240" w:lineRule="auto"/>
      <w:jc w:val="center"/>
      <w:rPr>
        <w:rFonts w:ascii="Arial Narrow" w:eastAsia="Times New Roman" w:hAnsi="Arial Narrow" w:cs="Arial"/>
        <w:b/>
        <w:i/>
        <w:color w:val="1F497D"/>
        <w:sz w:val="18"/>
        <w:szCs w:val="18"/>
        <w:lang w:eastAsia="de-DE"/>
      </w:rPr>
    </w:pPr>
    <w:r w:rsidRPr="0091374D">
      <w:rPr>
        <w:rFonts w:ascii="Arial Narrow" w:eastAsia="Times New Roman" w:hAnsi="Arial Narrow" w:cs="Arial"/>
        <w:b/>
        <w:i/>
        <w:color w:val="1F497D"/>
        <w:sz w:val="18"/>
        <w:szCs w:val="18"/>
        <w:lang w:eastAsia="de-DE"/>
      </w:rPr>
      <w:t>POCIDIF 2021-2027</w:t>
    </w:r>
  </w:p>
  <w:p w14:paraId="59948C07" w14:textId="77777777" w:rsidR="00CE2801" w:rsidRPr="0091374D" w:rsidRDefault="00CE2801" w:rsidP="00CE2801">
    <w:pPr>
      <w:tabs>
        <w:tab w:val="left" w:pos="0"/>
        <w:tab w:val="right" w:pos="9781"/>
      </w:tabs>
      <w:spacing w:before="0" w:line="240" w:lineRule="auto"/>
      <w:jc w:val="center"/>
      <w:rPr>
        <w:rFonts w:ascii="Arial Narrow" w:eastAsia="Times New Roman" w:hAnsi="Arial Narrow" w:cs="Arial"/>
        <w:b/>
        <w:i/>
        <w:color w:val="1F497D"/>
        <w:sz w:val="18"/>
        <w:szCs w:val="18"/>
        <w:lang w:eastAsia="de-DE"/>
      </w:rPr>
    </w:pPr>
  </w:p>
  <w:p w14:paraId="32CCCD3F" w14:textId="5A40EBFF" w:rsidR="00CE2801" w:rsidRPr="0091374D" w:rsidRDefault="00CE2801" w:rsidP="00CE2801">
    <w:pPr>
      <w:pStyle w:val="Header"/>
      <w:tabs>
        <w:tab w:val="left" w:pos="6473"/>
      </w:tabs>
      <w:jc w:val="center"/>
      <w:rPr>
        <w:rFonts w:ascii="Arial Narrow" w:eastAsia="Calibri" w:hAnsi="Arial Narrow" w:cs="Arial"/>
        <w:b/>
        <w:i/>
        <w:color w:val="1F497D"/>
        <w:sz w:val="18"/>
        <w:szCs w:val="18"/>
        <w:lang w:eastAsia="de-DE"/>
      </w:rPr>
    </w:pPr>
    <w:r w:rsidRPr="0091374D">
      <w:rPr>
        <w:rFonts w:ascii="Arial Narrow" w:eastAsia="Calibri" w:hAnsi="Arial Narrow" w:cs="Arial"/>
        <w:b/>
        <w:i/>
        <w:color w:val="1F497D"/>
        <w:sz w:val="18"/>
        <w:szCs w:val="18"/>
        <w:lang w:eastAsia="de-DE"/>
      </w:rPr>
      <w:t xml:space="preserve">Anexa </w:t>
    </w:r>
    <w:r>
      <w:rPr>
        <w:rFonts w:ascii="Arial Narrow" w:eastAsia="Calibri" w:hAnsi="Arial Narrow" w:cs="Arial"/>
        <w:b/>
        <w:i/>
        <w:color w:val="1F497D"/>
        <w:sz w:val="18"/>
        <w:szCs w:val="18"/>
        <w:lang w:eastAsia="de-DE"/>
      </w:rPr>
      <w:t>2</w:t>
    </w:r>
    <w:r w:rsidRPr="0091374D">
      <w:rPr>
        <w:rFonts w:ascii="Arial Narrow" w:eastAsia="Calibri" w:hAnsi="Arial Narrow" w:cs="Arial"/>
        <w:b/>
        <w:i/>
        <w:color w:val="1F497D"/>
        <w:sz w:val="18"/>
        <w:szCs w:val="18"/>
        <w:lang w:eastAsia="de-DE"/>
      </w:rPr>
      <w:t xml:space="preserve"> </w:t>
    </w:r>
    <w:r>
      <w:rPr>
        <w:rFonts w:ascii="Arial Narrow" w:eastAsia="Calibri" w:hAnsi="Arial Narrow" w:cs="Arial"/>
        <w:b/>
        <w:i/>
        <w:color w:val="1F497D"/>
        <w:sz w:val="18"/>
        <w:szCs w:val="18"/>
        <w:lang w:eastAsia="de-DE"/>
      </w:rPr>
      <w:t xml:space="preserve"> la </w:t>
    </w:r>
    <w:r w:rsidRPr="0091374D">
      <w:rPr>
        <w:rFonts w:ascii="Arial Narrow" w:eastAsia="Times New Roman" w:hAnsi="Arial Narrow" w:cs="Arial"/>
        <w:b/>
        <w:i/>
        <w:color w:val="1F497D"/>
        <w:sz w:val="18"/>
        <w:szCs w:val="18"/>
        <w:lang w:eastAsia="de-DE"/>
      </w:rPr>
      <w:t>Ghidul solicitantului aferent apelului de proiecte PCIDIF/15</w:t>
    </w:r>
    <w:r>
      <w:rPr>
        <w:rFonts w:ascii="Arial Narrow" w:eastAsia="Times New Roman" w:hAnsi="Arial Narrow" w:cs="Arial"/>
        <w:b/>
        <w:i/>
        <w:color w:val="1F497D"/>
        <w:sz w:val="18"/>
        <w:szCs w:val="18"/>
        <w:lang w:eastAsia="de-DE"/>
      </w:rPr>
      <w:t>9</w:t>
    </w:r>
    <w:r w:rsidRPr="0091374D">
      <w:rPr>
        <w:rFonts w:ascii="Arial Narrow" w:eastAsia="Times New Roman" w:hAnsi="Arial Narrow" w:cs="Arial"/>
        <w:b/>
        <w:i/>
        <w:color w:val="1F497D"/>
        <w:sz w:val="18"/>
        <w:szCs w:val="18"/>
        <w:lang w:eastAsia="de-DE"/>
      </w:rPr>
      <w:t>/PCIDIF_P1/OP1/RSO1.1/PCIDIF_A1.1</w:t>
    </w:r>
    <w:r>
      <w:rPr>
        <w:rFonts w:ascii="Arial Narrow" w:eastAsia="Times New Roman" w:hAnsi="Arial Narrow" w:cs="Arial"/>
        <w:b/>
        <w:i/>
        <w:color w:val="1F497D"/>
        <w:sz w:val="18"/>
        <w:szCs w:val="18"/>
        <w:lang w:eastAsia="de-DE"/>
      </w:rPr>
      <w:t>, Măsura 1.1.2</w:t>
    </w:r>
  </w:p>
  <w:p w14:paraId="56D8798E" w14:textId="77777777" w:rsidR="00CE2801" w:rsidRDefault="00CE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730C"/>
    <w:multiLevelType w:val="hybridMultilevel"/>
    <w:tmpl w:val="A57AD122"/>
    <w:lvl w:ilvl="0" w:tplc="371A63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53807"/>
    <w:multiLevelType w:val="hybridMultilevel"/>
    <w:tmpl w:val="5F12AB7C"/>
    <w:lvl w:ilvl="0" w:tplc="739A5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41774">
    <w:abstractNumId w:val="1"/>
  </w:num>
  <w:num w:numId="2" w16cid:durableId="209014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1C"/>
    <w:rsid w:val="00000960"/>
    <w:rsid w:val="00001BFA"/>
    <w:rsid w:val="00002D92"/>
    <w:rsid w:val="0001009A"/>
    <w:rsid w:val="000479A1"/>
    <w:rsid w:val="00047D10"/>
    <w:rsid w:val="00055062"/>
    <w:rsid w:val="000604C8"/>
    <w:rsid w:val="00063D07"/>
    <w:rsid w:val="00065954"/>
    <w:rsid w:val="00071F60"/>
    <w:rsid w:val="00073FD6"/>
    <w:rsid w:val="0007669D"/>
    <w:rsid w:val="00076DA7"/>
    <w:rsid w:val="000775DF"/>
    <w:rsid w:val="0008164E"/>
    <w:rsid w:val="00096950"/>
    <w:rsid w:val="000A5F6E"/>
    <w:rsid w:val="000A7376"/>
    <w:rsid w:val="000B2C42"/>
    <w:rsid w:val="000D750E"/>
    <w:rsid w:val="000D7B8A"/>
    <w:rsid w:val="000E1079"/>
    <w:rsid w:val="000E49C9"/>
    <w:rsid w:val="000E4B7E"/>
    <w:rsid w:val="000F14DE"/>
    <w:rsid w:val="000F4E3C"/>
    <w:rsid w:val="001117B6"/>
    <w:rsid w:val="00112385"/>
    <w:rsid w:val="001140EF"/>
    <w:rsid w:val="0011451C"/>
    <w:rsid w:val="00124262"/>
    <w:rsid w:val="00125746"/>
    <w:rsid w:val="00132F82"/>
    <w:rsid w:val="0013432B"/>
    <w:rsid w:val="00136681"/>
    <w:rsid w:val="001432B7"/>
    <w:rsid w:val="0014699F"/>
    <w:rsid w:val="00150B91"/>
    <w:rsid w:val="001530EC"/>
    <w:rsid w:val="0015327B"/>
    <w:rsid w:val="0015412E"/>
    <w:rsid w:val="0017005B"/>
    <w:rsid w:val="001932D1"/>
    <w:rsid w:val="00196958"/>
    <w:rsid w:val="001A07AC"/>
    <w:rsid w:val="001A1970"/>
    <w:rsid w:val="001B6CBF"/>
    <w:rsid w:val="001C2E68"/>
    <w:rsid w:val="001C71E6"/>
    <w:rsid w:val="001D371D"/>
    <w:rsid w:val="001D423F"/>
    <w:rsid w:val="001F48CB"/>
    <w:rsid w:val="00205AA2"/>
    <w:rsid w:val="00207620"/>
    <w:rsid w:val="00221019"/>
    <w:rsid w:val="00221870"/>
    <w:rsid w:val="00237F6C"/>
    <w:rsid w:val="00243ECE"/>
    <w:rsid w:val="002541E4"/>
    <w:rsid w:val="00260EF3"/>
    <w:rsid w:val="00282086"/>
    <w:rsid w:val="00282FD3"/>
    <w:rsid w:val="00286542"/>
    <w:rsid w:val="00287D4D"/>
    <w:rsid w:val="00291061"/>
    <w:rsid w:val="002949BA"/>
    <w:rsid w:val="002B051B"/>
    <w:rsid w:val="002B42E2"/>
    <w:rsid w:val="002B45B9"/>
    <w:rsid w:val="002C069A"/>
    <w:rsid w:val="002D1A34"/>
    <w:rsid w:val="002F258D"/>
    <w:rsid w:val="002F359A"/>
    <w:rsid w:val="002F6BF9"/>
    <w:rsid w:val="0030186D"/>
    <w:rsid w:val="003041F7"/>
    <w:rsid w:val="00312A74"/>
    <w:rsid w:val="0032580E"/>
    <w:rsid w:val="00325E2F"/>
    <w:rsid w:val="00342627"/>
    <w:rsid w:val="0036217C"/>
    <w:rsid w:val="00365BD9"/>
    <w:rsid w:val="00370C73"/>
    <w:rsid w:val="0037142D"/>
    <w:rsid w:val="0037575B"/>
    <w:rsid w:val="00383741"/>
    <w:rsid w:val="00396D34"/>
    <w:rsid w:val="003A5499"/>
    <w:rsid w:val="003A605D"/>
    <w:rsid w:val="003B2704"/>
    <w:rsid w:val="003B5CA5"/>
    <w:rsid w:val="003C05C1"/>
    <w:rsid w:val="003C60A9"/>
    <w:rsid w:val="003D3882"/>
    <w:rsid w:val="003D517E"/>
    <w:rsid w:val="003D74A6"/>
    <w:rsid w:val="003E4CA0"/>
    <w:rsid w:val="003E4CA1"/>
    <w:rsid w:val="003E734F"/>
    <w:rsid w:val="003F0107"/>
    <w:rsid w:val="004009C3"/>
    <w:rsid w:val="00402CA0"/>
    <w:rsid w:val="0040612B"/>
    <w:rsid w:val="00415D38"/>
    <w:rsid w:val="0044278F"/>
    <w:rsid w:val="004436D7"/>
    <w:rsid w:val="004446B0"/>
    <w:rsid w:val="004631F6"/>
    <w:rsid w:val="00463357"/>
    <w:rsid w:val="004658B7"/>
    <w:rsid w:val="0047682F"/>
    <w:rsid w:val="004820A9"/>
    <w:rsid w:val="0048251A"/>
    <w:rsid w:val="00491F13"/>
    <w:rsid w:val="00495AFE"/>
    <w:rsid w:val="004A17C1"/>
    <w:rsid w:val="004A2E02"/>
    <w:rsid w:val="004B06B5"/>
    <w:rsid w:val="004B5114"/>
    <w:rsid w:val="004C0130"/>
    <w:rsid w:val="004C7CAC"/>
    <w:rsid w:val="004D6579"/>
    <w:rsid w:val="004E20A2"/>
    <w:rsid w:val="0050125C"/>
    <w:rsid w:val="00505815"/>
    <w:rsid w:val="00505936"/>
    <w:rsid w:val="00505F35"/>
    <w:rsid w:val="005075BE"/>
    <w:rsid w:val="0051225F"/>
    <w:rsid w:val="00523560"/>
    <w:rsid w:val="00543B6D"/>
    <w:rsid w:val="00544EFF"/>
    <w:rsid w:val="00551436"/>
    <w:rsid w:val="005555F1"/>
    <w:rsid w:val="00563F1E"/>
    <w:rsid w:val="005A1197"/>
    <w:rsid w:val="005A7B8C"/>
    <w:rsid w:val="005B0A65"/>
    <w:rsid w:val="005B3D56"/>
    <w:rsid w:val="005B7579"/>
    <w:rsid w:val="005C38B0"/>
    <w:rsid w:val="005D3D77"/>
    <w:rsid w:val="005F364D"/>
    <w:rsid w:val="006022A1"/>
    <w:rsid w:val="00602F8D"/>
    <w:rsid w:val="006033D6"/>
    <w:rsid w:val="00610153"/>
    <w:rsid w:val="00611929"/>
    <w:rsid w:val="006161C6"/>
    <w:rsid w:val="00617E0E"/>
    <w:rsid w:val="00617FC7"/>
    <w:rsid w:val="00625048"/>
    <w:rsid w:val="006432D1"/>
    <w:rsid w:val="00657545"/>
    <w:rsid w:val="00673A50"/>
    <w:rsid w:val="00673AC5"/>
    <w:rsid w:val="00675F41"/>
    <w:rsid w:val="00683DFB"/>
    <w:rsid w:val="00686CE9"/>
    <w:rsid w:val="006A1CA2"/>
    <w:rsid w:val="006A74DA"/>
    <w:rsid w:val="006B5383"/>
    <w:rsid w:val="006B7861"/>
    <w:rsid w:val="006C3100"/>
    <w:rsid w:val="006D4E7F"/>
    <w:rsid w:val="006D55A7"/>
    <w:rsid w:val="006E2122"/>
    <w:rsid w:val="006E3BF4"/>
    <w:rsid w:val="006F7A02"/>
    <w:rsid w:val="007114FF"/>
    <w:rsid w:val="00716FCF"/>
    <w:rsid w:val="00717640"/>
    <w:rsid w:val="0072184C"/>
    <w:rsid w:val="0072591F"/>
    <w:rsid w:val="00732B4A"/>
    <w:rsid w:val="007339ED"/>
    <w:rsid w:val="00755044"/>
    <w:rsid w:val="00756C52"/>
    <w:rsid w:val="00757FF5"/>
    <w:rsid w:val="00766E07"/>
    <w:rsid w:val="00767A38"/>
    <w:rsid w:val="0079507D"/>
    <w:rsid w:val="00795EFB"/>
    <w:rsid w:val="00797B53"/>
    <w:rsid w:val="007A23EA"/>
    <w:rsid w:val="007A53B4"/>
    <w:rsid w:val="007B1377"/>
    <w:rsid w:val="007B2C4C"/>
    <w:rsid w:val="007B2EE3"/>
    <w:rsid w:val="007C6E6F"/>
    <w:rsid w:val="007E50D5"/>
    <w:rsid w:val="007F729F"/>
    <w:rsid w:val="00800313"/>
    <w:rsid w:val="008021BD"/>
    <w:rsid w:val="008030FC"/>
    <w:rsid w:val="00807E64"/>
    <w:rsid w:val="00836CC9"/>
    <w:rsid w:val="00837AE1"/>
    <w:rsid w:val="00850CFC"/>
    <w:rsid w:val="0086157E"/>
    <w:rsid w:val="00863B24"/>
    <w:rsid w:val="00872494"/>
    <w:rsid w:val="008844EA"/>
    <w:rsid w:val="00891CBC"/>
    <w:rsid w:val="00891EC1"/>
    <w:rsid w:val="008B0FED"/>
    <w:rsid w:val="008B45C0"/>
    <w:rsid w:val="008C1746"/>
    <w:rsid w:val="008C3C7C"/>
    <w:rsid w:val="008C5F6B"/>
    <w:rsid w:val="008C6007"/>
    <w:rsid w:val="008D5860"/>
    <w:rsid w:val="008D5BAB"/>
    <w:rsid w:val="008D5C17"/>
    <w:rsid w:val="008E17D0"/>
    <w:rsid w:val="008E4C87"/>
    <w:rsid w:val="008E7AC5"/>
    <w:rsid w:val="00903AFC"/>
    <w:rsid w:val="00903C4E"/>
    <w:rsid w:val="00916EA1"/>
    <w:rsid w:val="0093245C"/>
    <w:rsid w:val="00933139"/>
    <w:rsid w:val="0093386C"/>
    <w:rsid w:val="009424FB"/>
    <w:rsid w:val="00950540"/>
    <w:rsid w:val="009519B9"/>
    <w:rsid w:val="00957E20"/>
    <w:rsid w:val="00961438"/>
    <w:rsid w:val="0096652A"/>
    <w:rsid w:val="00974B15"/>
    <w:rsid w:val="00976A4B"/>
    <w:rsid w:val="0098376A"/>
    <w:rsid w:val="00994483"/>
    <w:rsid w:val="009A2059"/>
    <w:rsid w:val="009A504F"/>
    <w:rsid w:val="009D4380"/>
    <w:rsid w:val="009E53B2"/>
    <w:rsid w:val="009E71E7"/>
    <w:rsid w:val="009E73E0"/>
    <w:rsid w:val="009E7685"/>
    <w:rsid w:val="00A17674"/>
    <w:rsid w:val="00A215C5"/>
    <w:rsid w:val="00A27C45"/>
    <w:rsid w:val="00A31B32"/>
    <w:rsid w:val="00A4528A"/>
    <w:rsid w:val="00A54B94"/>
    <w:rsid w:val="00A57DEE"/>
    <w:rsid w:val="00A679DD"/>
    <w:rsid w:val="00A74116"/>
    <w:rsid w:val="00A907EB"/>
    <w:rsid w:val="00A92DB2"/>
    <w:rsid w:val="00A95094"/>
    <w:rsid w:val="00AA4B61"/>
    <w:rsid w:val="00AA6A45"/>
    <w:rsid w:val="00AA7594"/>
    <w:rsid w:val="00AB76A3"/>
    <w:rsid w:val="00AC2DD2"/>
    <w:rsid w:val="00AC3651"/>
    <w:rsid w:val="00AD09F9"/>
    <w:rsid w:val="00AD17B3"/>
    <w:rsid w:val="00AD2361"/>
    <w:rsid w:val="00AD4C11"/>
    <w:rsid w:val="00AD704D"/>
    <w:rsid w:val="00AE26D1"/>
    <w:rsid w:val="00AE5123"/>
    <w:rsid w:val="00AF4FBC"/>
    <w:rsid w:val="00AF745F"/>
    <w:rsid w:val="00B01EA8"/>
    <w:rsid w:val="00B06232"/>
    <w:rsid w:val="00B3198F"/>
    <w:rsid w:val="00B328DE"/>
    <w:rsid w:val="00B37E1C"/>
    <w:rsid w:val="00B40758"/>
    <w:rsid w:val="00B471C5"/>
    <w:rsid w:val="00B50B52"/>
    <w:rsid w:val="00B51C76"/>
    <w:rsid w:val="00B65859"/>
    <w:rsid w:val="00B6782F"/>
    <w:rsid w:val="00B84799"/>
    <w:rsid w:val="00B91AF7"/>
    <w:rsid w:val="00BA16BE"/>
    <w:rsid w:val="00BA6BDF"/>
    <w:rsid w:val="00BA6E6B"/>
    <w:rsid w:val="00BB0934"/>
    <w:rsid w:val="00BD72A7"/>
    <w:rsid w:val="00BE1878"/>
    <w:rsid w:val="00BF0D04"/>
    <w:rsid w:val="00BF4360"/>
    <w:rsid w:val="00BF6FDC"/>
    <w:rsid w:val="00C00424"/>
    <w:rsid w:val="00C0502B"/>
    <w:rsid w:val="00C14708"/>
    <w:rsid w:val="00C147AB"/>
    <w:rsid w:val="00C220D9"/>
    <w:rsid w:val="00C25C67"/>
    <w:rsid w:val="00C27E0C"/>
    <w:rsid w:val="00C35ACA"/>
    <w:rsid w:val="00C433B3"/>
    <w:rsid w:val="00C43EA1"/>
    <w:rsid w:val="00C45354"/>
    <w:rsid w:val="00C47FF5"/>
    <w:rsid w:val="00C521A8"/>
    <w:rsid w:val="00C5272F"/>
    <w:rsid w:val="00C542E3"/>
    <w:rsid w:val="00C575E5"/>
    <w:rsid w:val="00C67411"/>
    <w:rsid w:val="00C705B0"/>
    <w:rsid w:val="00C71FCE"/>
    <w:rsid w:val="00C733DB"/>
    <w:rsid w:val="00C73810"/>
    <w:rsid w:val="00C811B5"/>
    <w:rsid w:val="00C84F07"/>
    <w:rsid w:val="00CA1C49"/>
    <w:rsid w:val="00CA3055"/>
    <w:rsid w:val="00CC64C9"/>
    <w:rsid w:val="00CE2801"/>
    <w:rsid w:val="00CE4E96"/>
    <w:rsid w:val="00CF375C"/>
    <w:rsid w:val="00CF3EAF"/>
    <w:rsid w:val="00CF65FD"/>
    <w:rsid w:val="00D02FC4"/>
    <w:rsid w:val="00D0461E"/>
    <w:rsid w:val="00D06D7E"/>
    <w:rsid w:val="00D13A02"/>
    <w:rsid w:val="00D27351"/>
    <w:rsid w:val="00D3125D"/>
    <w:rsid w:val="00D51A55"/>
    <w:rsid w:val="00D5472D"/>
    <w:rsid w:val="00D60147"/>
    <w:rsid w:val="00D66425"/>
    <w:rsid w:val="00D669B8"/>
    <w:rsid w:val="00D67E53"/>
    <w:rsid w:val="00D71FE9"/>
    <w:rsid w:val="00D72E69"/>
    <w:rsid w:val="00D745AC"/>
    <w:rsid w:val="00D80AA0"/>
    <w:rsid w:val="00D9787E"/>
    <w:rsid w:val="00DA4887"/>
    <w:rsid w:val="00DA64AF"/>
    <w:rsid w:val="00DB04FC"/>
    <w:rsid w:val="00DB36CE"/>
    <w:rsid w:val="00DC71CA"/>
    <w:rsid w:val="00DF073C"/>
    <w:rsid w:val="00DF2F1F"/>
    <w:rsid w:val="00E143D4"/>
    <w:rsid w:val="00E2520F"/>
    <w:rsid w:val="00E3196F"/>
    <w:rsid w:val="00E3408D"/>
    <w:rsid w:val="00E3497F"/>
    <w:rsid w:val="00E40E07"/>
    <w:rsid w:val="00E51B00"/>
    <w:rsid w:val="00E57029"/>
    <w:rsid w:val="00E73451"/>
    <w:rsid w:val="00E820E6"/>
    <w:rsid w:val="00E83D2E"/>
    <w:rsid w:val="00E86F0F"/>
    <w:rsid w:val="00E873C6"/>
    <w:rsid w:val="00E90E32"/>
    <w:rsid w:val="00E91F29"/>
    <w:rsid w:val="00EA4501"/>
    <w:rsid w:val="00EB1B2C"/>
    <w:rsid w:val="00EB466B"/>
    <w:rsid w:val="00EC5741"/>
    <w:rsid w:val="00EC60C8"/>
    <w:rsid w:val="00ED0228"/>
    <w:rsid w:val="00ED2527"/>
    <w:rsid w:val="00ED785F"/>
    <w:rsid w:val="00ED7BD8"/>
    <w:rsid w:val="00EF3773"/>
    <w:rsid w:val="00F03AB4"/>
    <w:rsid w:val="00F14DA7"/>
    <w:rsid w:val="00F36143"/>
    <w:rsid w:val="00F41FF2"/>
    <w:rsid w:val="00F55693"/>
    <w:rsid w:val="00F622D4"/>
    <w:rsid w:val="00F65A1C"/>
    <w:rsid w:val="00F67785"/>
    <w:rsid w:val="00F73592"/>
    <w:rsid w:val="00F830AF"/>
    <w:rsid w:val="00F9362C"/>
    <w:rsid w:val="00F94755"/>
    <w:rsid w:val="00FA4119"/>
    <w:rsid w:val="00FA4E7C"/>
    <w:rsid w:val="00FA5848"/>
    <w:rsid w:val="00FA61E9"/>
    <w:rsid w:val="00FA706D"/>
    <w:rsid w:val="00FA7079"/>
    <w:rsid w:val="00FA7242"/>
    <w:rsid w:val="00FB2EA0"/>
    <w:rsid w:val="00FB5079"/>
    <w:rsid w:val="00FD0368"/>
    <w:rsid w:val="00FD6BCB"/>
    <w:rsid w:val="00FE0BDD"/>
    <w:rsid w:val="00FE2F4B"/>
    <w:rsid w:val="00FE31AD"/>
    <w:rsid w:val="00FF14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DE24"/>
  <w15:chartTrackingRefBased/>
  <w15:docId w15:val="{4A38A00E-B008-49A7-B730-2FFCD687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1438"/>
    <w:pPr>
      <w:spacing w:before="160" w:after="0"/>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pPr>
      <w:spacing w:line="240" w:lineRule="auto"/>
    </w:pPr>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pPr>
      <w:spacing w:line="240" w:lineRule="auto"/>
    </w:pPr>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spacing w:line="240" w:lineRule="auto"/>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 w:type="paragraph" w:styleId="ListParagraph">
    <w:name w:val="List Paragraph"/>
    <w:aliases w:val="List Paragraph1,List1,Списък на абзаци,Normal bullet 2,body 2,List Paragraph11,Akapit z list¹ BS,Outlines a.b.c.,List_Paragraph,Multilevel para_II,Akapit z lista BS,Akapit z listą BS,Forth level,List Paragraph compact"/>
    <w:basedOn w:val="Normal"/>
    <w:link w:val="ListParagraphChar"/>
    <w:uiPriority w:val="34"/>
    <w:qFormat/>
    <w:rsid w:val="00E51B00"/>
    <w:pPr>
      <w:ind w:left="720"/>
      <w:contextualSpacing/>
    </w:p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
    <w:link w:val="ListParagraph"/>
    <w:uiPriority w:val="34"/>
    <w:qFormat/>
    <w:locked/>
    <w:rsid w:val="00DF2F1F"/>
    <w:rPr>
      <w:rFonts w:ascii="Trebuchet MS" w:hAnsi="Trebuchet MS"/>
    </w:rPr>
  </w:style>
  <w:style w:type="character" w:styleId="CommentReference">
    <w:name w:val="annotation reference"/>
    <w:basedOn w:val="DefaultParagraphFont"/>
    <w:uiPriority w:val="99"/>
    <w:semiHidden/>
    <w:unhideWhenUsed/>
    <w:rsid w:val="000D750E"/>
    <w:rPr>
      <w:sz w:val="16"/>
      <w:szCs w:val="16"/>
    </w:rPr>
  </w:style>
  <w:style w:type="paragraph" w:styleId="CommentText">
    <w:name w:val="annotation text"/>
    <w:basedOn w:val="Normal"/>
    <w:link w:val="CommentTextChar"/>
    <w:uiPriority w:val="99"/>
    <w:semiHidden/>
    <w:unhideWhenUsed/>
    <w:rsid w:val="000D750E"/>
    <w:pPr>
      <w:spacing w:line="240" w:lineRule="auto"/>
    </w:pPr>
    <w:rPr>
      <w:sz w:val="20"/>
      <w:szCs w:val="20"/>
    </w:rPr>
  </w:style>
  <w:style w:type="character" w:customStyle="1" w:styleId="CommentTextChar">
    <w:name w:val="Comment Text Char"/>
    <w:basedOn w:val="DefaultParagraphFont"/>
    <w:link w:val="CommentText"/>
    <w:uiPriority w:val="99"/>
    <w:semiHidden/>
    <w:rsid w:val="000D750E"/>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D750E"/>
    <w:rPr>
      <w:b/>
      <w:bCs/>
    </w:rPr>
  </w:style>
  <w:style w:type="character" w:customStyle="1" w:styleId="CommentSubjectChar">
    <w:name w:val="Comment Subject Char"/>
    <w:basedOn w:val="CommentTextChar"/>
    <w:link w:val="CommentSubject"/>
    <w:uiPriority w:val="99"/>
    <w:semiHidden/>
    <w:rsid w:val="000D750E"/>
    <w:rPr>
      <w:rFonts w:ascii="Trebuchet MS" w:hAnsi="Trebuchet MS"/>
      <w:b/>
      <w:bCs/>
      <w:sz w:val="20"/>
      <w:szCs w:val="20"/>
    </w:rPr>
  </w:style>
  <w:style w:type="paragraph" w:styleId="BalloonText">
    <w:name w:val="Balloon Text"/>
    <w:basedOn w:val="Normal"/>
    <w:link w:val="BalloonTextChar"/>
    <w:uiPriority w:val="99"/>
    <w:semiHidden/>
    <w:unhideWhenUsed/>
    <w:rsid w:val="000D750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0E"/>
    <w:rPr>
      <w:rFonts w:ascii="Segoe UI" w:hAnsi="Segoe UI" w:cs="Segoe UI"/>
      <w:sz w:val="18"/>
      <w:szCs w:val="18"/>
    </w:rPr>
  </w:style>
  <w:style w:type="paragraph" w:styleId="Revision">
    <w:name w:val="Revision"/>
    <w:hidden/>
    <w:uiPriority w:val="99"/>
    <w:semiHidden/>
    <w:rsid w:val="00FF1421"/>
    <w:pPr>
      <w:spacing w:after="0" w:line="240" w:lineRule="auto"/>
    </w:pPr>
    <w:rPr>
      <w:rFonts w:ascii="Trebuchet MS" w:hAnsi="Trebuchet MS"/>
    </w:rPr>
  </w:style>
  <w:style w:type="paragraph" w:customStyle="1" w:styleId="TableParagraph">
    <w:name w:val="Table Paragraph"/>
    <w:basedOn w:val="Normal"/>
    <w:uiPriority w:val="1"/>
    <w:qFormat/>
    <w:rsid w:val="004658B7"/>
    <w:pPr>
      <w:widowControl w:val="0"/>
      <w:autoSpaceDE w:val="0"/>
      <w:autoSpaceDN w:val="0"/>
      <w:spacing w:before="0" w:line="240" w:lineRule="auto"/>
      <w:jc w:val="left"/>
    </w:pPr>
    <w:rPr>
      <w:rFonts w:eastAsia="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2DE6E-AA98-466F-88DE-551FC5FF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PETRICA</dc:creator>
  <cp:keywords/>
  <dc:description/>
  <cp:lastModifiedBy>Luminita Marin</cp:lastModifiedBy>
  <cp:revision>2</cp:revision>
  <cp:lastPrinted>2023-09-15T08:10:00Z</cp:lastPrinted>
  <dcterms:created xsi:type="dcterms:W3CDTF">2024-08-02T08:16:00Z</dcterms:created>
  <dcterms:modified xsi:type="dcterms:W3CDTF">2024-08-02T08:16:00Z</dcterms:modified>
</cp:coreProperties>
</file>